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2"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ada22266b89d6c42481d7b76d0aa0ca1"/>
                        <pic:cNvPicPr>
                          <a:picLocks noChangeAspect="1"/>
                        </pic:cNvPicPr>
                        <pic:nvPr/>
                      </pic:nvPicPr>
                      <pic:blipFill>
                        <a:blip r:embed="rId13"/>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1.2pt;height:171.2pt;mso-wrap-distance-left:0.0pt;mso-wrap-distance-top:0.0pt;mso-wrap-distance-right:0.0pt;mso-wrap-distance-bottom:0.0pt;" stroked="false">
                <v:path textboxrect="0,0,0,0"/>
                <v:imagedata r:id="rId13"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12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JSZC-320583-XKYG-G202</w:t>
      </w:r>
      <w:r>
        <w:rPr>
          <w:rFonts w:hint="eastAsia" w:ascii="宋体" w:hAnsi="宋体"/>
          <w:sz w:val="28"/>
          <w:szCs w:val="28"/>
        </w:rPr>
        <w:t xml:space="preserve">5</w:t>
      </w:r>
      <w:r>
        <w:rPr>
          <w:rFonts w:ascii="宋体" w:hAnsi="宋体"/>
          <w:sz w:val="28"/>
          <w:szCs w:val="28"/>
        </w:rPr>
        <w:t xml:space="preserve">-000</w:t>
      </w:r>
      <w:r>
        <w:rPr>
          <w:rFonts w:hint="eastAsia" w:ascii="宋体" w:hAnsi="宋体"/>
          <w:sz w:val="28"/>
          <w:szCs w:val="28"/>
        </w:rPr>
        <w:t xml:space="preserve">7</w:t>
      </w:r>
      <w:r/>
    </w:p>
    <w:p>
      <w:pPr>
        <w:ind w:firstLine="1120"/>
        <w:spacing w:line="360" w:lineRule="auto"/>
        <w:rPr>
          <w:rFonts w:ascii="宋体" w:hAnsi="宋体"/>
          <w:sz w:val="28"/>
          <w:szCs w:val="28"/>
        </w:rPr>
      </w:pPr>
      <w:r>
        <w:rPr>
          <w:rFonts w:hint="eastAsia" w:ascii="宋体" w:hAnsi="宋体"/>
          <w:sz w:val="28"/>
          <w:szCs w:val="28"/>
        </w:rPr>
        <w:t xml:space="preserve">采购项目：2026-2027年交通设施维护服务</w:t>
      </w:r>
      <w:r/>
    </w:p>
    <w:p>
      <w:pPr>
        <w:ind w:firstLine="1120"/>
        <w:spacing w:line="360" w:lineRule="auto"/>
        <w:rPr>
          <w:rFonts w:ascii="宋体" w:hAnsi="宋体"/>
          <w:sz w:val="28"/>
          <w:szCs w:val="28"/>
        </w:rPr>
      </w:pPr>
      <w:r>
        <w:rPr>
          <w:rFonts w:ascii="宋体" w:hAnsi="宋体"/>
          <w:sz w:val="28"/>
          <w:szCs w:val="28"/>
        </w:rPr>
        <w:t xml:space="preserve">项目类别</w:t>
      </w:r>
      <w:r>
        <w:rPr>
          <w:rFonts w:hint="eastAsia" w:ascii="宋体" w:hAnsi="宋体"/>
          <w:sz w:val="28"/>
          <w:szCs w:val="28"/>
        </w:rPr>
        <w:t xml:space="preserve">：服务类</w:t>
      </w:r>
      <w:r/>
    </w:p>
    <w:p>
      <w:pPr>
        <w:ind w:firstLine="1120"/>
        <w:spacing w:line="360" w:lineRule="auto"/>
        <w:rPr>
          <w:rFonts w:ascii="宋体" w:hAnsi="宋体"/>
          <w:sz w:val="28"/>
          <w:szCs w:val="28"/>
        </w:rPr>
      </w:pPr>
      <w:r>
        <w:rPr>
          <w:rFonts w:hint="eastAsia" w:ascii="宋体" w:hAnsi="宋体"/>
          <w:sz w:val="28"/>
          <w:szCs w:val="28"/>
        </w:rPr>
        <w:t xml:space="preserve">采购单位：江苏昆山花桥经济开发区管理委员</w:t>
      </w:r>
      <w:r/>
    </w:p>
    <w:p>
      <w:pPr>
        <w:ind w:firstLine="2327"/>
        <w:spacing w:line="360" w:lineRule="auto"/>
        <w:rPr>
          <w:rFonts w:ascii="宋体" w:hAnsi="宋体"/>
          <w:sz w:val="28"/>
          <w:szCs w:val="28"/>
        </w:rPr>
      </w:pPr>
      <w:r>
        <w:rPr>
          <w:rFonts w:hint="eastAsia" w:ascii="宋体" w:hAnsi="宋体"/>
          <w:sz w:val="28"/>
          <w:szCs w:val="28"/>
        </w:rPr>
        <w:t xml:space="preserve">（昆山市公安局交通警察大队花桥中队）</w:t>
      </w:r>
      <w:r/>
    </w:p>
    <w:p>
      <w:pPr>
        <w:rPr>
          <w:rFonts w:ascii="宋体" w:hAnsi="宋体"/>
          <w:sz w:val="28"/>
          <w:szCs w:val="28"/>
        </w:rPr>
      </w:pPr>
      <w:r>
        <w:rPr>
          <w:rFonts w:ascii="宋体" w:hAnsi="宋体"/>
          <w:sz w:val="28"/>
          <w:szCs w:val="28"/>
        </w:rPr>
      </w:r>
      <w:r/>
    </w:p>
    <w:p>
      <w:pPr>
        <w:pStyle w:val="712"/>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w:t>
      </w:r>
      <w:r>
        <w:rPr>
          <w:rFonts w:hint="eastAsia" w:ascii="宋体" w:hAnsi="宋体"/>
          <w:sz w:val="28"/>
          <w:szCs w:val="28"/>
        </w:rPr>
        <w:t xml:space="preserve">鑫</w:t>
      </w:r>
      <w:r>
        <w:rPr>
          <w:rFonts w:hint="eastAsia" w:ascii="宋体" w:hAnsi="宋体"/>
          <w:sz w:val="28"/>
          <w:szCs w:val="28"/>
        </w:rPr>
        <w:t xml:space="preserve">鲲煜工程项目管理咨询有限公司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二〇二五年十一月</w:t>
      </w:r>
      <w:r/>
    </w:p>
    <w:p>
      <w:pPr>
        <w:pStyle w:val="712"/>
        <w:ind w:firstLine="420"/>
        <w:rPr>
          <w:rFonts w:hint="default"/>
        </w:rPr>
      </w:pPr>
      <w:r>
        <w:rPr>
          <w:rFonts w:hint="default"/>
        </w:rPr>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31"/>
            <w:jc w:val="center"/>
            <w:spacing w:line="480" w:lineRule="auto"/>
            <w:rPr>
              <w:color w:val="auto"/>
              <w:sz w:val="48"/>
            </w:rPr>
          </w:pPr>
          <w:r/>
          <w:bookmarkStart w:id="0" w:name="_Toc23452_WPSOffice_Type1"/>
          <w:r>
            <w:rPr>
              <w:color w:val="auto"/>
              <w:sz w:val="48"/>
              <w:lang w:val="zh-CN"/>
            </w:rPr>
            <w:t xml:space="preserve">目录</w:t>
          </w:r>
          <w:r/>
        </w:p>
        <w:p>
          <w:pPr>
            <w:pStyle w:val="730"/>
            <w:spacing w:line="480" w:lineRule="auto"/>
            <w:tabs>
              <w:tab w:val="right" w:pos="9060" w:leader="dot"/>
            </w:tabs>
            <w:rPr>
              <w:rStyle w:val="749"/>
            </w:rPr>
          </w:pPr>
          <w:r>
            <w:rPr>
              <w:rStyle w:val="749"/>
            </w:rPr>
            <w:fldChar w:fldCharType="begin"/>
          </w:r>
          <w:r>
            <w:rPr>
              <w:rStyle w:val="749"/>
            </w:rPr>
            <w:instrText xml:space="preserve"> TOC \o "1-3" \h \z \u </w:instrText>
          </w:r>
          <w:r>
            <w:rPr>
              <w:rStyle w:val="749"/>
            </w:rPr>
            <w:fldChar w:fldCharType="separate"/>
          </w:r>
          <w:hyperlink w:tooltip="#_Toc116396539" w:anchor="_Toc116396539" w:history="1">
            <w:r>
              <w:rPr>
                <w:rStyle w:val="749"/>
                <w:rFonts w:hint="eastAsia" w:asciiTheme="majorEastAsia" w:hAnsiTheme="majorEastAsia" w:eastAsiaTheme="majorEastAsia"/>
                <w:sz w:val="28"/>
                <w:szCs w:val="28"/>
              </w:rPr>
              <w:t xml:space="preserve">第一章</w:t>
            </w:r>
            <w:r>
              <w:rPr>
                <w:rStyle w:val="749"/>
                <w:rFonts w:asciiTheme="majorEastAsia" w:hAnsiTheme="majorEastAsia" w:eastAsiaTheme="majorEastAsia"/>
                <w:sz w:val="28"/>
                <w:szCs w:val="28"/>
              </w:rPr>
              <w:t xml:space="preserve">  </w:t>
            </w:r>
            <w:r>
              <w:rPr>
                <w:rStyle w:val="749"/>
                <w:rFonts w:hint="eastAsia" w:asciiTheme="majorEastAsia" w:hAnsiTheme="majorEastAsia" w:eastAsiaTheme="majorEastAsia"/>
                <w:sz w:val="28"/>
                <w:szCs w:val="28"/>
              </w:rPr>
              <w:t xml:space="preserve">投标邀请函</w:t>
            </w:r>
            <w:r>
              <w:rPr>
                <w:rStyle w:val="749"/>
              </w:rPr>
              <w:tab/>
            </w:r>
            <w:r>
              <w:rPr>
                <w:rStyle w:val="749"/>
              </w:rPr>
              <w:fldChar w:fldCharType="begin"/>
            </w:r>
            <w:r>
              <w:rPr>
                <w:rStyle w:val="749"/>
              </w:rPr>
              <w:instrText xml:space="preserve"> PAGEREF _Toc116396539 \h </w:instrText>
            </w:r>
            <w:r>
              <w:rPr>
                <w:rStyle w:val="749"/>
              </w:rPr>
            </w:r>
            <w:r>
              <w:rPr>
                <w:rStyle w:val="749"/>
              </w:rPr>
              <w:fldChar w:fldCharType="separate"/>
            </w:r>
            <w:r>
              <w:rPr>
                <w:rStyle w:val="749"/>
              </w:rPr>
              <w:t xml:space="preserve">3</w:t>
            </w:r>
            <w:r>
              <w:rPr>
                <w:rStyle w:val="749"/>
              </w:rPr>
              <w:fldChar w:fldCharType="end"/>
            </w:r>
          </w:hyperlink>
          <w:r/>
          <w:r/>
        </w:p>
        <w:p>
          <w:pPr>
            <w:pStyle w:val="730"/>
            <w:spacing w:line="480" w:lineRule="auto"/>
            <w:tabs>
              <w:tab w:val="right" w:pos="9060" w:leader="dot"/>
            </w:tabs>
            <w:rPr>
              <w:rStyle w:val="749"/>
            </w:rPr>
          </w:pPr>
          <w:r/>
          <w:hyperlink w:tooltip="#_Toc116396540" w:anchor="_Toc116396540" w:history="1">
            <w:r>
              <w:rPr>
                <w:rStyle w:val="749"/>
                <w:rFonts w:hint="eastAsia" w:asciiTheme="majorEastAsia" w:hAnsiTheme="majorEastAsia" w:eastAsiaTheme="majorEastAsia"/>
                <w:sz w:val="28"/>
                <w:szCs w:val="28"/>
              </w:rPr>
              <w:t xml:space="preserve">第二章</w:t>
            </w:r>
            <w:r>
              <w:rPr>
                <w:rStyle w:val="749"/>
                <w:rFonts w:asciiTheme="majorEastAsia" w:hAnsiTheme="majorEastAsia" w:eastAsiaTheme="majorEastAsia"/>
                <w:sz w:val="28"/>
                <w:szCs w:val="28"/>
              </w:rPr>
              <w:t xml:space="preserve">  </w:t>
            </w:r>
            <w:r>
              <w:rPr>
                <w:rStyle w:val="749"/>
                <w:rFonts w:hint="eastAsia" w:asciiTheme="majorEastAsia" w:hAnsiTheme="majorEastAsia" w:eastAsiaTheme="majorEastAsia"/>
                <w:sz w:val="28"/>
                <w:szCs w:val="28"/>
              </w:rPr>
              <w:t xml:space="preserve">投标人须知</w:t>
            </w:r>
            <w:r>
              <w:rPr>
                <w:rStyle w:val="749"/>
              </w:rPr>
              <w:tab/>
            </w:r>
            <w:r>
              <w:rPr>
                <w:rStyle w:val="749"/>
                <w:rFonts w:hint="eastAsia"/>
              </w:rPr>
              <w:t xml:space="preserve">6</w:t>
            </w:r>
          </w:hyperlink>
          <w:r/>
          <w:r/>
        </w:p>
        <w:p>
          <w:pPr>
            <w:pStyle w:val="730"/>
            <w:spacing w:line="480" w:lineRule="auto"/>
            <w:tabs>
              <w:tab w:val="right" w:pos="9060" w:leader="dot"/>
            </w:tabs>
            <w:rPr>
              <w:rStyle w:val="749"/>
            </w:rPr>
          </w:pPr>
          <w:r/>
          <w:hyperlink w:tooltip="#_Toc116396551" w:anchor="_Toc116396551" w:history="1">
            <w:r>
              <w:rPr>
                <w:rStyle w:val="749"/>
                <w:rFonts w:hint="eastAsia" w:asciiTheme="majorEastAsia" w:hAnsiTheme="majorEastAsia" w:eastAsiaTheme="majorEastAsia"/>
                <w:sz w:val="28"/>
                <w:szCs w:val="28"/>
              </w:rPr>
              <w:t xml:space="preserve">第三章</w:t>
            </w:r>
            <w:r>
              <w:rPr>
                <w:rStyle w:val="749"/>
                <w:rFonts w:asciiTheme="majorEastAsia" w:hAnsiTheme="majorEastAsia" w:eastAsiaTheme="majorEastAsia"/>
                <w:sz w:val="28"/>
                <w:szCs w:val="28"/>
              </w:rPr>
              <w:t xml:space="preserve">  </w:t>
            </w:r>
            <w:r>
              <w:rPr>
                <w:rStyle w:val="749"/>
                <w:rFonts w:hint="eastAsia" w:asciiTheme="majorEastAsia" w:hAnsiTheme="majorEastAsia" w:eastAsiaTheme="majorEastAsia"/>
                <w:sz w:val="28"/>
                <w:szCs w:val="28"/>
              </w:rPr>
              <w:t xml:space="preserve">投标文件格式</w:t>
            </w:r>
            <w:r>
              <w:rPr>
                <w:rStyle w:val="749"/>
              </w:rPr>
              <w:tab/>
            </w:r>
            <w:r>
              <w:rPr>
                <w:rStyle w:val="749"/>
                <w:rFonts w:hint="eastAsia"/>
              </w:rPr>
              <w:t xml:space="preserve">1</w:t>
            </w:r>
          </w:hyperlink>
          <w:r>
            <w:rPr>
              <w:rStyle w:val="749"/>
              <w:rFonts w:hint="eastAsia"/>
              <w:color w:val="auto"/>
              <w:u w:val="none"/>
            </w:rPr>
            <w:t xml:space="preserve">9</w:t>
          </w:r>
          <w:r/>
        </w:p>
        <w:p>
          <w:pPr>
            <w:pStyle w:val="730"/>
            <w:spacing w:line="480" w:lineRule="auto"/>
            <w:tabs>
              <w:tab w:val="right" w:pos="9060" w:leader="dot"/>
            </w:tabs>
            <w:rPr>
              <w:rStyle w:val="749"/>
            </w:rPr>
          </w:pPr>
          <w:r/>
          <w:hyperlink w:tooltip="#_Toc116396565" w:anchor="_Toc116396565" w:history="1">
            <w:r>
              <w:rPr>
                <w:rStyle w:val="749"/>
                <w:rFonts w:hint="eastAsia" w:asciiTheme="majorEastAsia" w:hAnsiTheme="majorEastAsia" w:eastAsiaTheme="majorEastAsia"/>
                <w:sz w:val="28"/>
                <w:szCs w:val="28"/>
              </w:rPr>
              <w:t xml:space="preserve">第四章</w:t>
            </w:r>
            <w:r>
              <w:rPr>
                <w:rStyle w:val="749"/>
                <w:rFonts w:asciiTheme="majorEastAsia" w:hAnsiTheme="majorEastAsia" w:eastAsiaTheme="majorEastAsia"/>
                <w:sz w:val="28"/>
                <w:szCs w:val="28"/>
              </w:rPr>
              <w:t xml:space="preserve">  </w:t>
            </w:r>
            <w:r>
              <w:rPr>
                <w:rStyle w:val="749"/>
                <w:rFonts w:hint="eastAsia" w:asciiTheme="majorEastAsia" w:hAnsiTheme="majorEastAsia" w:eastAsiaTheme="majorEastAsia"/>
                <w:sz w:val="28"/>
                <w:szCs w:val="28"/>
              </w:rPr>
              <w:t xml:space="preserve">招标书</w:t>
            </w:r>
            <w:r>
              <w:rPr>
                <w:rStyle w:val="749"/>
              </w:rPr>
              <w:tab/>
            </w:r>
            <w:r>
              <w:rPr>
                <w:rStyle w:val="749"/>
              </w:rPr>
              <w:fldChar w:fldCharType="begin"/>
            </w:r>
            <w:r>
              <w:rPr>
                <w:rStyle w:val="749"/>
              </w:rPr>
              <w:instrText xml:space="preserve"> PAGEREF _Toc116396565 \h </w:instrText>
            </w:r>
            <w:r>
              <w:rPr>
                <w:rStyle w:val="749"/>
              </w:rPr>
            </w:r>
            <w:r>
              <w:rPr>
                <w:rStyle w:val="749"/>
              </w:rPr>
              <w:fldChar w:fldCharType="separate"/>
            </w:r>
            <w:r>
              <w:rPr>
                <w:rStyle w:val="749"/>
              </w:rPr>
              <w:t xml:space="preserve">35</w:t>
            </w:r>
            <w:r>
              <w:rPr>
                <w:rStyle w:val="749"/>
              </w:rPr>
              <w:fldChar w:fldCharType="end"/>
            </w:r>
          </w:hyperlink>
          <w:r/>
          <w:r/>
        </w:p>
        <w:p>
          <w:pPr>
            <w:pStyle w:val="730"/>
            <w:spacing w:line="480" w:lineRule="auto"/>
            <w:tabs>
              <w:tab w:val="right" w:pos="9060" w:leader="dot"/>
            </w:tabs>
            <w:rPr>
              <w:rStyle w:val="749"/>
            </w:rPr>
          </w:pPr>
          <w:r/>
          <w:hyperlink w:tooltip="#_Toc116396566" w:anchor="_Toc116396566" w:history="1">
            <w:r>
              <w:rPr>
                <w:rStyle w:val="749"/>
                <w:rFonts w:hint="eastAsia" w:asciiTheme="majorEastAsia" w:hAnsiTheme="majorEastAsia" w:eastAsiaTheme="majorEastAsia"/>
                <w:sz w:val="28"/>
                <w:szCs w:val="28"/>
              </w:rPr>
              <w:t xml:space="preserve">第五章</w:t>
            </w:r>
            <w:r>
              <w:rPr>
                <w:rStyle w:val="749"/>
                <w:rFonts w:asciiTheme="majorEastAsia" w:hAnsiTheme="majorEastAsia" w:eastAsiaTheme="majorEastAsia"/>
                <w:sz w:val="28"/>
                <w:szCs w:val="28"/>
              </w:rPr>
              <w:t xml:space="preserve">  </w:t>
            </w:r>
            <w:r>
              <w:rPr>
                <w:rStyle w:val="749"/>
                <w:rFonts w:hint="eastAsia" w:asciiTheme="majorEastAsia" w:hAnsiTheme="majorEastAsia" w:eastAsiaTheme="majorEastAsia"/>
                <w:sz w:val="28"/>
                <w:szCs w:val="28"/>
              </w:rPr>
              <w:t xml:space="preserve">合同主要内容</w:t>
            </w:r>
            <w:r>
              <w:rPr>
                <w:rStyle w:val="749"/>
              </w:rPr>
              <w:tab/>
            </w:r>
            <w:r>
              <w:rPr>
                <w:rStyle w:val="749"/>
              </w:rPr>
              <w:fldChar w:fldCharType="begin"/>
            </w:r>
            <w:r>
              <w:rPr>
                <w:rStyle w:val="749"/>
              </w:rPr>
              <w:instrText xml:space="preserve"> PAGEREF _Toc116396566 \h </w:instrText>
            </w:r>
            <w:r>
              <w:rPr>
                <w:rStyle w:val="749"/>
              </w:rPr>
            </w:r>
            <w:r>
              <w:rPr>
                <w:rStyle w:val="749"/>
              </w:rPr>
              <w:fldChar w:fldCharType="separate"/>
            </w:r>
            <w:r>
              <w:rPr>
                <w:rStyle w:val="749"/>
              </w:rPr>
              <w:t xml:space="preserve">48</w:t>
            </w:r>
            <w:r>
              <w:rPr>
                <w:rStyle w:val="749"/>
              </w:rPr>
              <w:fldChar w:fldCharType="end"/>
            </w:r>
          </w:hyperlink>
          <w:r/>
          <w:r/>
        </w:p>
        <w:p>
          <w:pPr>
            <w:pStyle w:val="730"/>
            <w:spacing w:line="480" w:lineRule="auto"/>
            <w:tabs>
              <w:tab w:val="right" w:pos="9060" w:leader="dot"/>
            </w:tabs>
            <w:rPr>
              <w:rStyle w:val="749"/>
            </w:rPr>
          </w:pPr>
          <w:r/>
          <w:hyperlink w:tooltip="#_Toc116396567" w:anchor="_Toc116396567" w:history="1">
            <w:r>
              <w:rPr>
                <w:rStyle w:val="749"/>
                <w:rFonts w:hint="eastAsia" w:asciiTheme="majorEastAsia" w:hAnsiTheme="majorEastAsia" w:eastAsiaTheme="majorEastAsia"/>
                <w:sz w:val="28"/>
                <w:szCs w:val="28"/>
              </w:rPr>
              <w:t xml:space="preserve">第六章</w:t>
            </w:r>
            <w:r>
              <w:rPr>
                <w:rStyle w:val="749"/>
                <w:rFonts w:asciiTheme="majorEastAsia" w:hAnsiTheme="majorEastAsia" w:eastAsiaTheme="majorEastAsia"/>
                <w:sz w:val="28"/>
                <w:szCs w:val="28"/>
              </w:rPr>
              <w:t xml:space="preserve">  </w:t>
            </w:r>
            <w:r>
              <w:rPr>
                <w:rStyle w:val="749"/>
                <w:rFonts w:hint="eastAsia" w:asciiTheme="majorEastAsia" w:hAnsiTheme="majorEastAsia" w:eastAsiaTheme="majorEastAsia"/>
                <w:sz w:val="28"/>
                <w:szCs w:val="28"/>
              </w:rPr>
              <w:t xml:space="preserve">评标方法、采购政策、评分标准</w:t>
            </w:r>
            <w:r>
              <w:rPr>
                <w:rStyle w:val="749"/>
              </w:rPr>
              <w:tab/>
            </w:r>
            <w:r>
              <w:rPr>
                <w:rStyle w:val="749"/>
              </w:rPr>
              <w:fldChar w:fldCharType="begin"/>
            </w:r>
            <w:r>
              <w:rPr>
                <w:rStyle w:val="749"/>
              </w:rPr>
              <w:instrText xml:space="preserve"> PAGEREF _Toc116396567 \h </w:instrText>
            </w:r>
            <w:r>
              <w:rPr>
                <w:rStyle w:val="749"/>
              </w:rPr>
            </w:r>
            <w:r>
              <w:rPr>
                <w:rStyle w:val="749"/>
              </w:rPr>
              <w:fldChar w:fldCharType="separate"/>
            </w:r>
            <w:r>
              <w:rPr>
                <w:rStyle w:val="749"/>
              </w:rPr>
              <w:t xml:space="preserve">52</w:t>
            </w:r>
            <w:r>
              <w:rPr>
                <w:rStyle w:val="749"/>
              </w:rPr>
              <w:fldChar w:fldCharType="end"/>
            </w:r>
          </w:hyperlink>
          <w:r/>
          <w:r/>
        </w:p>
        <w:p>
          <w:pPr>
            <w:pStyle w:val="730"/>
            <w:spacing w:line="480" w:lineRule="auto"/>
            <w:tabs>
              <w:tab w:val="right" w:pos="9060" w:leader="dot"/>
            </w:tabs>
            <w:rPr>
              <w:rStyle w:val="749"/>
            </w:rPr>
          </w:pPr>
          <w:r/>
          <w:hyperlink w:tooltip="#_Toc116396571" w:anchor="_Toc116396571" w:history="1">
            <w:r>
              <w:rPr>
                <w:rStyle w:val="749"/>
                <w:rFonts w:hint="eastAsia" w:asciiTheme="majorEastAsia" w:hAnsiTheme="majorEastAsia" w:eastAsiaTheme="majorEastAsia"/>
                <w:sz w:val="28"/>
                <w:szCs w:val="28"/>
              </w:rPr>
              <w:t xml:space="preserve">第七章</w:t>
            </w:r>
            <w:r>
              <w:rPr>
                <w:rStyle w:val="749"/>
                <w:rFonts w:asciiTheme="majorEastAsia" w:hAnsiTheme="majorEastAsia" w:eastAsiaTheme="majorEastAsia"/>
                <w:sz w:val="28"/>
                <w:szCs w:val="28"/>
              </w:rPr>
              <w:t xml:space="preserve">  </w:t>
            </w:r>
            <w:r>
              <w:rPr>
                <w:rStyle w:val="749"/>
                <w:rFonts w:hint="eastAsia" w:asciiTheme="majorEastAsia" w:hAnsiTheme="majorEastAsia" w:eastAsiaTheme="majorEastAsia"/>
                <w:sz w:val="28"/>
                <w:szCs w:val="28"/>
              </w:rPr>
              <w:t xml:space="preserve">昆山市政府采购供应商诚信管理办法</w:t>
            </w:r>
            <w:r>
              <w:rPr>
                <w:rStyle w:val="749"/>
              </w:rPr>
              <w:tab/>
            </w:r>
            <w:r>
              <w:rPr>
                <w:rStyle w:val="749"/>
              </w:rPr>
              <w:fldChar w:fldCharType="begin"/>
            </w:r>
            <w:r>
              <w:rPr>
                <w:rStyle w:val="749"/>
              </w:rPr>
              <w:instrText xml:space="preserve"> PAGEREF _Toc116396571 \h </w:instrText>
            </w:r>
            <w:r>
              <w:rPr>
                <w:rStyle w:val="749"/>
              </w:rPr>
            </w:r>
            <w:r>
              <w:rPr>
                <w:rStyle w:val="749"/>
              </w:rPr>
              <w:fldChar w:fldCharType="separate"/>
            </w:r>
            <w:r>
              <w:rPr>
                <w:rStyle w:val="749"/>
              </w:rPr>
              <w:t xml:space="preserve">56</w:t>
            </w:r>
            <w:r>
              <w:rPr>
                <w:rStyle w:val="749"/>
              </w:rPr>
              <w:fldChar w:fldCharType="end"/>
            </w:r>
          </w:hyperlink>
          <w:r/>
          <w:r/>
        </w:p>
        <w:p>
          <w:pPr>
            <w:spacing w:line="480" w:lineRule="auto"/>
          </w:pPr>
          <w:r>
            <w:rPr>
              <w:rStyle w:val="749"/>
              <w:rFonts w:cstheme="minorBidi"/>
            </w:rPr>
            <w:fldChar w:fldCharType="end"/>
          </w:r>
          <w:bookmarkEnd w:id="0"/>
          <w:r/>
        </w:p>
      </w:sdtContent>
    </w:sdt>
    <w:p>
      <w:pPr>
        <w:pStyle w:val="921"/>
        <w:tabs>
          <w:tab w:val="right" w:pos="8306" w:leader="dot"/>
        </w:tabs>
      </w:pPr>
      <w:r/>
      <w:r/>
    </w:p>
    <w:p>
      <w:pPr>
        <w:pStyle w:val="700"/>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r/>
    </w:p>
    <w:p>
      <w:pPr>
        <w:pStyle w:val="700"/>
        <w:jc w:val="center"/>
        <w:rPr>
          <w:rFonts w:asciiTheme="majorEastAsia" w:hAnsiTheme="majorEastAsia" w:eastAsiaTheme="majorEastAsia" w:cstheme="majorEastAsia"/>
          <w:sz w:val="32"/>
          <w:szCs w:val="32"/>
        </w:rPr>
      </w:pPr>
      <w:r/>
      <w:bookmarkStart w:id="2" w:name="_Toc116396539"/>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江苏鑫鲲煜工程项目管理咨询有限公司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江苏昆山花桥经济开发区管理委员（昆山市公安局交通警察大队花桥中队）</w:t>
      </w:r>
      <w:r>
        <w:rPr>
          <w:rFonts w:hint="eastAsia" w:asciiTheme="minorEastAsia" w:hAnsiTheme="minorEastAsia" w:eastAsiaTheme="minorEastAsia"/>
          <w:bCs/>
          <w:szCs w:val="21"/>
        </w:rPr>
        <w:t xml:space="preserve">的委托，对其拟采购的</w:t>
      </w:r>
      <w:r>
        <w:rPr>
          <w:rFonts w:hint="eastAsia" w:asciiTheme="minorEastAsia" w:hAnsiTheme="minorEastAsia" w:eastAsiaTheme="minorEastAsia"/>
          <w:bCs/>
          <w:szCs w:val="21"/>
          <w:u w:val="single"/>
        </w:rPr>
        <w:t xml:space="preserve">2026-2027年交通设施维护服务</w:t>
      </w:r>
      <w:r>
        <w:rPr>
          <w:rFonts w:hint="eastAsia" w:asciiTheme="minorEastAsia" w:hAnsiTheme="minorEastAsia" w:eastAsiaTheme="minorEastAsia"/>
          <w:bCs/>
          <w:szCs w:val="21"/>
        </w:rPr>
        <w:t xml:space="preserve">进行国内公开招标采购，欢迎符合条件的供应商前来投标。</w:t>
      </w:r>
      <w:r/>
    </w:p>
    <w:p>
      <w:pPr>
        <w:pStyle w:val="716"/>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cs="宋体" w:asciiTheme="minorEastAsia" w:hAnsiTheme="minorEastAsia" w:eastAsiaTheme="minorEastAsia"/>
          <w:szCs w:val="21"/>
        </w:rPr>
      </w:pPr>
      <w:r>
        <w:rPr>
          <w:rFonts w:hint="eastAsia" w:asciiTheme="minorEastAsia" w:hAnsiTheme="minorEastAsia" w:eastAsiaTheme="minorEastAsia"/>
          <w:bCs/>
          <w:szCs w:val="21"/>
        </w:rPr>
        <w:t xml:space="preserve">1.项目编号：</w:t>
      </w:r>
      <w:r>
        <w:rPr>
          <w:rFonts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-000</w:t>
      </w:r>
      <w:r>
        <w:rPr>
          <w:rFonts w:hint="eastAsia" w:cs="宋体" w:asciiTheme="minorEastAsia" w:hAnsiTheme="minorEastAsia" w:eastAsiaTheme="minorEastAsia"/>
          <w:szCs w:val="21"/>
        </w:rPr>
        <w:t xml:space="preserve">7；</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2.项目名称：2026-2027年交通设施维护服务；</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3.采购方式：公开招标</w:t>
      </w:r>
      <w:r>
        <w:rPr>
          <w:rFonts w:hint="eastAsia" w:asciiTheme="minorEastAsia" w:hAnsiTheme="minorEastAsia" w:eastAsiaTheme="minorEastAsia"/>
          <w:bCs/>
          <w:szCs w:val="21"/>
        </w:rPr>
        <w:t xml:space="preserve">；</w:t>
      </w:r>
      <w:r/>
    </w:p>
    <w:p>
      <w:pPr>
        <w:ind w:firstLine="420"/>
        <w:jc w:val="left"/>
        <w:spacing w:line="360" w:lineRule="auto"/>
        <w:rPr>
          <w:rFonts w:ascii="宋体" w:hAnsi="宋体" w:cs="宋体" w:eastAsiaTheme="minorEastAsia"/>
          <w:b/>
          <w:szCs w:val="21"/>
        </w:rPr>
      </w:pPr>
      <w:r>
        <w:rPr>
          <w:rFonts w:hint="eastAsia" w:asciiTheme="minorEastAsia" w:hAnsiTheme="minorEastAsia" w:eastAsiaTheme="minorEastAsia"/>
          <w:bCs/>
          <w:szCs w:val="21"/>
        </w:rPr>
        <w:t xml:space="preserve">4.预算金额：人民币肆佰贰拾万元整（RMB:420</w:t>
      </w:r>
      <w:r>
        <w:rPr>
          <w:rFonts w:asciiTheme="minorEastAsia" w:hAnsiTheme="minorEastAsia" w:eastAsiaTheme="minorEastAsia"/>
          <w:bCs/>
          <w:szCs w:val="21"/>
        </w:rPr>
        <w:t xml:space="preserve">0000</w:t>
      </w:r>
      <w:r>
        <w:rPr>
          <w:rFonts w:hint="eastAsia" w:asciiTheme="minorEastAsia" w:hAnsiTheme="minorEastAsia" w:eastAsiaTheme="minorEastAsia"/>
          <w:bCs/>
          <w:szCs w:val="21"/>
        </w:rPr>
        <w:t xml:space="preserve">.00元）</w:t>
      </w:r>
      <w:r/>
    </w:p>
    <w:p>
      <w:pPr>
        <w:ind w:firstLine="420"/>
        <w:spacing w:line="360" w:lineRule="auto"/>
        <w:rPr>
          <w:rFonts w:cs="宋体" w:asciiTheme="minorEastAsia" w:hAnsiTheme="minorEastAsia" w:eastAsiaTheme="minorEastAsia"/>
          <w:szCs w:val="21"/>
        </w:rPr>
      </w:pPr>
      <w:r>
        <w:rPr>
          <w:rFonts w:hint="eastAsia" w:asciiTheme="minorEastAsia" w:hAnsiTheme="minorEastAsia" w:eastAsiaTheme="minorEastAsia"/>
          <w:bCs/>
          <w:szCs w:val="21"/>
        </w:rPr>
        <w:t xml:space="preserve">5.采购需求：2026-2027年度昆山市花桥镇</w:t>
      </w:r>
      <w:r>
        <w:rPr>
          <w:rFonts w:hint="eastAsia" w:ascii="宋体" w:hAnsi="宋体" w:cs="宋体"/>
          <w:szCs w:val="21"/>
        </w:rPr>
        <w:t xml:space="preserve">辖区内非框架道路标志标线、信号灯、交通隔离设施等维护及设置（</w:t>
      </w:r>
      <w:r>
        <w:rPr>
          <w:rFonts w:hint="eastAsia" w:cs="宋体"/>
        </w:rPr>
        <w:t xml:space="preserve">具体内容详见招标书</w:t>
      </w:r>
      <w:r>
        <w:rPr>
          <w:rFonts w:hint="eastAsia" w:ascii="宋体" w:hAnsi="宋体" w:cs="宋体"/>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6.服务期：2年（具体在合同中明确）。</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7.本项目不接受联合体投标。</w:t>
      </w:r>
      <w:r/>
    </w:p>
    <w:p>
      <w:pPr>
        <w:pStyle w:val="716"/>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二、投标人资格要求：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1、具有独立承担民事责任的能力；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2、具有良好的商业信誉和健全的财务会计制度；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3、具有履行合同所必需的设备和专业技术能力；</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4、具有依法缴纳税收和社会保障资金的良好记录；</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5、参加政府采购活动前三年内，在</w:t>
      </w:r>
      <w:r>
        <w:rPr>
          <w:rFonts w:hint="eastAsia" w:ascii="宋体" w:hAnsi="宋体" w:cs="宋体"/>
          <w:szCs w:val="21"/>
        </w:rPr>
        <w:t xml:space="preserve">经营活动中没有重大违法记录</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（二）落实政府采购政策需满足的资格要求：</w:t>
      </w:r>
      <w:r>
        <w:rPr>
          <w:rFonts w:hint="eastAsia" w:cs="宋体" w:asciiTheme="minorEastAsia" w:hAnsiTheme="minorEastAsia" w:eastAsiaTheme="minorEastAsia"/>
          <w:b/>
          <w:szCs w:val="21"/>
        </w:rPr>
        <w:t xml:space="preserve">本项目专门面向中小企业采购</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所属行业为</w:t>
      </w:r>
      <w:r>
        <w:rPr>
          <w:rFonts w:hAnsi="宋体"/>
          <w:b/>
          <w:szCs w:val="21"/>
          <w:u w:val="single"/>
        </w:rPr>
        <w:t xml:space="preserve">其他未列明行业</w:t>
      </w:r>
      <w:r>
        <w:rPr>
          <w:rFonts w:hint="eastAsia" w:asciiTheme="minorEastAsia" w:hAnsiTheme="minorEastAsia" w:eastAsiaTheme="minorEastAsia"/>
          <w:szCs w:val="21"/>
        </w:rPr>
        <w:t xml:space="preserve">，</w:t>
      </w:r>
      <w:r>
        <w:rPr>
          <w:rFonts w:hint="eastAsia" w:cs="宋体" w:asciiTheme="minorEastAsia" w:hAnsiTheme="minorEastAsia" w:eastAsiaTheme="minorEastAsia"/>
          <w:szCs w:val="21"/>
        </w:rPr>
        <w:t xml:space="preserve">残疾人福利性单位、监狱企业视同小型、微型企业。</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（三）采购人根据采购项目的特殊要求规定的特定条件：</w:t>
      </w:r>
      <w:r/>
    </w:p>
    <w:p>
      <w:pPr>
        <w:ind w:firstLine="527"/>
        <w:jc w:val="left"/>
        <w:spacing w:line="360" w:lineRule="auto"/>
        <w:rPr>
          <w:rFonts w:cs="宋体" w:asciiTheme="minorEastAsia" w:hAnsiTheme="minorEastAsia" w:eastAsiaTheme="minorEastAsia"/>
          <w:b/>
          <w:szCs w:val="21"/>
        </w:rPr>
      </w:pPr>
      <w:r>
        <w:rPr>
          <w:rFonts w:hint="eastAsia" w:ascii="宋体" w:hAnsi="宋体"/>
          <w:szCs w:val="21"/>
        </w:rPr>
        <w:t xml:space="preserve">未被“信用中国”网站（www.creditchina.gov.cn）列入失信被执行人、重大税收违法失信主体名单、政府采购严重违法失信行为记录名单。</w:t>
      </w:r>
      <w:r/>
    </w:p>
    <w:p>
      <w:pPr>
        <w:ind w:firstLine="420"/>
        <w:jc w:val="left"/>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三、招标文件获取信息：</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1.获取招标文件时间：自公告发布之日起至2025年12月</w:t>
      </w:r>
      <w:r>
        <w:rPr>
          <w:rFonts w:hint="eastAsia" w:cs="宋体" w:asciiTheme="minorEastAsia" w:hAnsiTheme="minorEastAsia" w:eastAsiaTheme="minorEastAsia"/>
          <w:szCs w:val="21"/>
        </w:rPr>
        <w:t xml:space="preserve">0</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日24:00（北京时间）。</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2.获取招标文方式：登录“苏采云”系统（</w:t>
      </w:r>
      <w:r>
        <w:rPr>
          <w:rFonts w:hint="eastAsia" w:ascii="宋体" w:hAnsi="宋体" w:cs="宋体"/>
          <w:color w:val="000000"/>
          <w:szCs w:val="21"/>
        </w:rPr>
        <w:t xml:space="preserve">网址：http://jszfcg</w:t>
      </w:r>
      <w:r>
        <w:rPr>
          <w:rFonts w:hint="eastAsia" w:ascii="宋体" w:hAnsi="宋体" w:cs="宋体"/>
          <w:color w:val="000000"/>
          <w:szCs w:val="21"/>
        </w:rPr>
        <w:t xml:space="preserve">.jsczt.cn/</w:t>
      </w:r>
      <w:r>
        <w:rPr>
          <w:rFonts w:hint="eastAsia" w:cs="宋体" w:asciiTheme="minorEastAsia" w:hAnsiTheme="minorEastAsia" w:eastAsiaTheme="minorEastAsia"/>
          <w:szCs w:val="21"/>
        </w:rPr>
        <w:t xml:space="preserve">）自行免费下载招标文件。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3.招标文件售价：0元。</w:t>
      </w:r>
      <w:r/>
    </w:p>
    <w:p>
      <w:pPr>
        <w:ind w:firstLine="420"/>
        <w:jc w:val="left"/>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4.供应商访问政府采购管理交易系统（苏采云）的方法：</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w:t>
      </w:r>
      <w:r>
        <w:rPr>
          <w:rFonts w:hint="eastAsia" w:cs="宋体" w:asciiTheme="minorEastAsia" w:hAnsiTheme="minorEastAsia" w:eastAsiaTheme="minorEastAsia"/>
          <w:szCs w:val="21"/>
        </w:rPr>
        <w:t xml:space="preserve">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w:t>
      </w:r>
      <w:r>
        <w:rPr>
          <w:rFonts w:hint="eastAsia" w:cs="宋体" w:asciiTheme="minorEastAsia" w:hAnsiTheme="minorEastAsia" w:eastAsiaTheme="minorEastAsia"/>
          <w:szCs w:val="21"/>
        </w:rPr>
        <w:t xml:space="preserve">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cs="宋体" w:asciiTheme="minorEastAsia" w:hAnsiTheme="minorEastAsia" w:eastAsiaTheme="minorEastAsia"/>
          <w:b/>
          <w:szCs w:val="21"/>
        </w:rPr>
        <w:t xml:space="preserve">苏州现场办理地址：苏州市姑苏区平泷路251号政务服务中心4楼公共交易中心窗口，咨询电话：0512-69820834。</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系统使用指导与咨询：联系电话：18261002950；QQ：3048755361、1315179389、895706745。</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w:t>
      </w:r>
      <w:r>
        <w:rPr>
          <w:rFonts w:hint="eastAsia" w:cs="宋体" w:asciiTheme="minorEastAsia" w:hAnsiTheme="minorEastAsia" w:eastAsiaTheme="minorEastAsia"/>
          <w:szCs w:val="21"/>
        </w:rPr>
        <w:t xml:space="preserve">止时间：2025年12月</w:t>
      </w:r>
      <w:r>
        <w:rPr>
          <w:rFonts w:hint="eastAsia" w:cs="宋体" w:asciiTheme="minorEastAsia" w:hAnsiTheme="minorEastAsia" w:eastAsiaTheme="minorEastAsia"/>
          <w:szCs w:val="21"/>
        </w:rPr>
        <w:t xml:space="preserve">17</w:t>
      </w:r>
      <w:r>
        <w:rPr>
          <w:rFonts w:hint="eastAsia" w:cs="宋体" w:asciiTheme="minorEastAsia" w:hAnsiTheme="minorEastAsia" w:eastAsiaTheme="minorEastAsia"/>
          <w:szCs w:val="21"/>
        </w:rPr>
        <w:t xml:space="preserve">日9:30（北京时间）。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2、开标时间：2025年12月</w:t>
      </w:r>
      <w:r>
        <w:rPr>
          <w:rFonts w:hint="eastAsia" w:cs="宋体" w:asciiTheme="minorEastAsia" w:hAnsiTheme="minorEastAsia" w:eastAsiaTheme="minorEastAsia"/>
          <w:szCs w:val="21"/>
        </w:rPr>
        <w:t xml:space="preserve">17</w:t>
      </w:r>
      <w:r>
        <w:rPr>
          <w:rFonts w:hint="eastAsia" w:cs="宋体" w:asciiTheme="minorEastAsia" w:hAnsiTheme="minorEastAsia" w:eastAsiaTheme="minorEastAsia"/>
          <w:szCs w:val="21"/>
        </w:rPr>
        <w:t xml:space="preserve">日9:30（</w:t>
      </w:r>
      <w:r>
        <w:rPr>
          <w:rFonts w:hint="eastAsia" w:cs="宋体" w:asciiTheme="minorEastAsia" w:hAnsiTheme="minorEastAsia" w:eastAsiaTheme="minorEastAsia"/>
          <w:szCs w:val="21"/>
        </w:rPr>
        <w:t xml:space="preserve">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3、远程CA解密时间：以开标时“苏采云”系统为准。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4、开标地点：“苏采云”系统（网址：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5、本项目采用电子招投标形式，请供</w:t>
      </w:r>
      <w:r>
        <w:rPr>
          <w:rFonts w:hint="eastAsia" w:asciiTheme="minorEastAsia" w:hAnsiTheme="minorEastAsia" w:eastAsiaTheme="minorEastAsia"/>
          <w:szCs w:val="21"/>
        </w:rPr>
        <w:t xml:space="preserve">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6、</w:t>
      </w:r>
      <w:r>
        <w:rPr>
          <w:rFonts w:hint="eastAsia" w:asciiTheme="minorEastAsia" w:hAnsiTheme="minorEastAsia" w:eastAsiaTheme="minorEastAsia"/>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CA证书解密电子投标文件，如在系统规定的解密时间（10分钟）内未能完成解密的视为放弃投标。</w:t>
      </w:r>
      <w:r/>
    </w:p>
    <w:p>
      <w:pPr>
        <w:ind w:firstLine="422"/>
        <w:jc w:val="left"/>
        <w:spacing w:line="360" w:lineRule="auto"/>
        <w:widowControl/>
        <w:rPr>
          <w:rFonts w:cs="宋体" w:asciiTheme="minorEastAsia" w:hAnsiTheme="minorEastAsia" w:eastAsiaTheme="minorEastAsia"/>
          <w:color w:val="000000"/>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五、公告信息：</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szCs w:val="21"/>
        </w:rPr>
        <w:t xml:space="preserve">1、本公告在江苏政府采购网、苏州市政府采购网发布；</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2、公告期限：自公告发布之日起5个工作日。</w:t>
      </w:r>
      <w:r/>
    </w:p>
    <w:p>
      <w:pPr>
        <w:ind w:firstLine="422"/>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b/>
          <w:szCs w:val="21"/>
        </w:rPr>
        <w:t xml:space="preserve">六、中标服务费：</w:t>
      </w:r>
      <w:r>
        <w:rPr>
          <w:rFonts w:hint="eastAsia" w:asciiTheme="minorEastAsia" w:hAnsiTheme="minorEastAsia" w:eastAsiaTheme="minorEastAsia"/>
          <w:szCs w:val="21"/>
        </w:rPr>
        <w:t xml:space="preserve">中标单位须按规定支付中标服务费，</w:t>
      </w:r>
      <w:r>
        <w:rPr>
          <w:rFonts w:hint="eastAsia" w:cs="宋体" w:asciiTheme="minorEastAsia" w:hAnsiTheme="minorEastAsia" w:eastAsiaTheme="minorEastAsia"/>
          <w:szCs w:val="21"/>
        </w:rPr>
        <w:t xml:space="preserve">该费用应在领取中标通知书时付清</w:t>
      </w:r>
      <w:r>
        <w:rPr>
          <w:rFonts w:hint="eastAsia" w:asciiTheme="minorEastAsia" w:hAnsiTheme="minorEastAsia" w:eastAsiaTheme="minorEastAsia"/>
          <w:szCs w:val="21"/>
        </w:rPr>
        <w:t xml:space="preserve">。以</w:t>
      </w:r>
      <w:r>
        <w:rPr>
          <w:rFonts w:hint="eastAsia" w:cs="宋体" w:asciiTheme="minorEastAsia" w:hAnsiTheme="minorEastAsia" w:eastAsiaTheme="minorEastAsia"/>
          <w:szCs w:val="21"/>
        </w:rPr>
        <w:t xml:space="preserve">差额定率累进法计算</w:t>
      </w:r>
      <w:r>
        <w:rPr>
          <w:rFonts w:hint="eastAsia" w:asciiTheme="minorEastAsia" w:hAnsiTheme="minorEastAsia" w:eastAsiaTheme="minorEastAsia"/>
          <w:szCs w:val="21"/>
        </w:rPr>
        <w:t xml:space="preserve">收费（按预算金额，100万元以下，收取1.5%；100-500万元，收取1.1%；500-1000万元，收取0.8%；1000-5000万元，收取0.5%；5000-10000万元，收取0.25%；不足叁仟元按叁仟元收取）。</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七、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jc w:val="left"/>
        <w:spacing w:line="360" w:lineRule="auto"/>
        <w:shd w:val="clear" w:color="auto" w:fill="ffffff"/>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八、联系事项</w:t>
      </w:r>
      <w:r/>
    </w:p>
    <w:p>
      <w:pPr>
        <w:pStyle w:val="71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1、采购单位：江苏昆山花桥经济开发区管理委员（昆山市公安局交通警察大队花桥中队）</w:t>
      </w:r>
      <w:r/>
    </w:p>
    <w:p>
      <w:pPr>
        <w:pStyle w:val="71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w:t>
      </w:r>
      <w:r>
        <w:rPr>
          <w:rFonts w:hint="eastAsia" w:cs="宋体" w:asciiTheme="minorEastAsia" w:hAnsiTheme="minorEastAsia" w:eastAsiaTheme="minorEastAsia"/>
          <w:sz w:val="21"/>
          <w:szCs w:val="21"/>
        </w:rPr>
        <w:t xml:space="preserve">汪兴松</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联系电话：0512-57600881</w:t>
      </w:r>
      <w:r/>
    </w:p>
    <w:p>
      <w:pPr>
        <w:pStyle w:val="71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2、招标代理人（机构）：江苏鑫鲲煜工程项目管理咨询有限公司</w:t>
      </w:r>
      <w:r/>
    </w:p>
    <w:p>
      <w:pPr>
        <w:pStyle w:val="71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地址：江苏省昆山市陆家镇新民路12号3号厂房东侧三楼</w:t>
      </w:r>
      <w:r/>
    </w:p>
    <w:p>
      <w:pPr>
        <w:pStyle w:val="71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联系人：曹江、杨金梅         联系电话：0512-57503882</w:t>
      </w:r>
      <w:r/>
    </w:p>
    <w:p>
      <w:pPr>
        <w:pStyle w:val="716"/>
        <w:jc w:val="both"/>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3、昆山市政府采购管理部门监督电话：0512-57310854</w:t>
      </w:r>
      <w:r/>
    </w:p>
    <w:p>
      <w:pPr>
        <w:pStyle w:val="719"/>
        <w:ind w:firstLine="422"/>
        <w:spacing w:line="360" w:lineRule="auto"/>
        <w:rPr>
          <w:rFonts w:asciiTheme="minorEastAsia" w:hAnsiTheme="minorEastAsia" w:eastAsiaTheme="minorEastAsia"/>
          <w:b/>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cs="宋体" w:asciiTheme="minorEastAsia" w:hAnsiTheme="minorEastAsia" w:eastAsiaTheme="minorEastAsia"/>
          <w:color w:val="0000ff"/>
          <w:szCs w:val="21"/>
        </w:rPr>
      </w:pPr>
      <w:r>
        <w:rPr>
          <w:rFonts w:cs="宋体" w:asciiTheme="minorEastAsia" w:hAnsiTheme="minorEastAsia" w:eastAsiaTheme="minorEastAsia"/>
          <w:color w:val="0000ff"/>
          <w:szCs w:val="21"/>
        </w:rPr>
      </w:r>
      <w:r/>
    </w:p>
    <w:p>
      <w:pPr>
        <w:pStyle w:val="716"/>
        <w:jc w:val="right"/>
        <w:spacing w:line="360" w:lineRule="auto"/>
        <w:rPr>
          <w:rFonts w:cs="宋体" w:asciiTheme="minorEastAsia" w:hAnsiTheme="minorEastAsia" w:eastAsiaTheme="minorEastAsia"/>
          <w:sz w:val="21"/>
          <w:szCs w:val="21"/>
          <w:highlight w:val="yellow"/>
        </w:rPr>
      </w:pPr>
      <w:r>
        <w:rPr>
          <w:rFonts w:cs="宋体" w:asciiTheme="minorEastAsia" w:hAnsiTheme="minorEastAsia" w:eastAsiaTheme="minorEastAsia"/>
          <w:sz w:val="21"/>
          <w:szCs w:val="21"/>
          <w:highlight w:val="yellow"/>
        </w:rPr>
      </w:r>
      <w:r/>
    </w:p>
    <w:p>
      <w:pPr>
        <w:pStyle w:val="700"/>
        <w:jc w:val="center"/>
        <w:rPr>
          <w:rFonts w:asciiTheme="minorEastAsia" w:hAnsiTheme="minorEastAsia" w:eastAsiaTheme="minorEastAsia" w:cstheme="majorEastAsia"/>
          <w:sz w:val="21"/>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3" w:name="_Toc23452_WPSOffice_Level1"/>
      <w:r/>
      <w:r/>
    </w:p>
    <w:p>
      <w:pPr>
        <w:pStyle w:val="700"/>
        <w:jc w:val="center"/>
        <w:rPr>
          <w:rFonts w:asciiTheme="majorEastAsia" w:hAnsiTheme="majorEastAsia" w:eastAsiaTheme="majorEastAsia" w:cstheme="majorEastAsia"/>
          <w:sz w:val="32"/>
          <w:szCs w:val="32"/>
        </w:rPr>
      </w:pPr>
      <w:r/>
      <w:bookmarkStart w:id="4" w:name="_Toc116396540"/>
      <w:r>
        <w:rPr>
          <w:rFonts w:hint="eastAsia" w:asciiTheme="majorEastAsia" w:hAnsiTheme="majorEastAsia" w:eastAsiaTheme="majorEastAsia" w:cstheme="majorEastAsia"/>
          <w:sz w:val="32"/>
          <w:szCs w:val="32"/>
        </w:rPr>
        <w:t xml:space="preserve">第二章  投标人须知</w:t>
      </w:r>
      <w:bookmarkEnd w:id="3"/>
      <w:r/>
      <w:bookmarkEnd w:id="4"/>
      <w:r/>
      <w:r/>
    </w:p>
    <w:p>
      <w:pPr>
        <w:ind w:firstLine="422"/>
        <w:spacing w:line="360" w:lineRule="auto"/>
        <w:rPr>
          <w:rFonts w:cs="宋体" w:asciiTheme="minorEastAsia" w:hAnsiTheme="minorEastAsia" w:eastAsiaTheme="minorEastAsia"/>
          <w:b/>
          <w:szCs w:val="21"/>
        </w:rPr>
      </w:pPr>
      <w:r/>
      <w:bookmarkStart w:id="5" w:name="_Toc116396220"/>
      <w:r/>
      <w:bookmarkStart w:id="6" w:name="_Toc116396541"/>
      <w:r>
        <w:rPr>
          <w:rFonts w:hint="eastAsia" w:cs="宋体" w:asciiTheme="minorEastAsia" w:hAnsiTheme="minorEastAsia" w:eastAsiaTheme="minorEastAsia"/>
          <w:b/>
          <w:szCs w:val="21"/>
        </w:rPr>
        <w:t xml:space="preserve">一、说明和释义</w:t>
      </w:r>
      <w:bookmarkEnd w:id="5"/>
      <w:r/>
      <w:bookmarkEnd w:id="6"/>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1、说明</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1.1本招标文件仅适用于江苏鑫鲲煜工程项目管理咨询有限公司组织的招标活动。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1.2本次招标活动及因本次招标产生的合同受中国法律制约和保护。</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1.3本招标文件的解释权属于江苏鑫鲲煜工程项目管理咨询有限公司。</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2、词语释义</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2.1招标人：具体组织实施招标活动的法人。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2.2投标人：经认定有资格响应招标，参加投标竞争的法人或其他组织和自然人。</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中小企业：本文中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cs="宋体" w:asciiTheme="minorEastAsia" w:hAnsiTheme="minorEastAsia" w:eastAsiaTheme="minorEastAsia"/>
          <w:szCs w:val="21"/>
        </w:rPr>
        <w:t xml:space="preserve">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2.4响应：投标人根据招标人或招标人发布的招标文件，编制投标文件并按规定投标的行为。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2.5合同：采供双方根据招标文件和中标的投标文件及中标通知书规定的内容签署的以书面形式所达成的协议，包括所有的附件、附录和构成协议的所有文件。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2.6甲方（采购方）：合同中明确规定的实际购买货物和服务的法人或其他组织和自然人。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2.7乙方（供应商）：合同中规定的向采购方提供货物和服务的法人或其他组织和自然人。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2.8伴随服务：根据合同规定乙方应承担的与提供货物和服务有关的辅助服务，比如运输、保险、安装、调试、提供技术援助、培训、配合措施、维修响应及合同中规定乙方应承担的其它义务。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2.9 知识产权：指专利权、商标权、著作权等无形资产专有权的统称。</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2.10天：日历日。</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2.11交货地点：合同中明确约定的乙方提交的货物和服务最终到达地点。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2.12合同价款：根据合同规定，乙方在正确地履行合同义务后甲方应支付给乙方的价款。</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2.13产地：货物开采、生长、生产、最终制造、加工或提供服务的来源地。</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2.14不可抗力：不能预见、不能避免并且不能克服的客观情况。</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3、政策功能</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3.1政府采购促进中小企业发展，此项目专门面向中小企业采购（须提供中小企业声明函），具体详见本招标文件内容。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3.2残疾人福利性单位及监狱企业视同小型、</w:t>
      </w:r>
      <w:r>
        <w:rPr>
          <w:rFonts w:hint="eastAsia" w:ascii="宋体" w:hAnsi="宋体" w:cs="宋体"/>
          <w:szCs w:val="21"/>
        </w:rPr>
        <w:t xml:space="preserve">微型</w:t>
      </w:r>
      <w:r>
        <w:rPr>
          <w:rFonts w:hint="eastAsia" w:cs="宋体" w:asciiTheme="minorEastAsia" w:hAnsiTheme="minorEastAsia" w:eastAsiaTheme="minorEastAsia"/>
          <w:szCs w:val="21"/>
        </w:rPr>
        <w:t xml:space="preserve">企业（需提供残疾人福利性单位声明函，详</w:t>
      </w:r>
      <w:r>
        <w:rPr>
          <w:rFonts w:hint="eastAsia" w:cs="宋体" w:asciiTheme="minorEastAsia" w:hAnsiTheme="minorEastAsia" w:eastAsiaTheme="minorEastAsia"/>
          <w:szCs w:val="21"/>
        </w:rPr>
        <w:t xml:space="preserve">见本招标文件）。</w:t>
      </w:r>
      <w:r/>
    </w:p>
    <w:p>
      <w:pPr>
        <w:ind w:firstLine="422"/>
        <w:spacing w:line="360" w:lineRule="auto"/>
        <w:rPr>
          <w:rFonts w:cs="宋体" w:asciiTheme="minorEastAsia" w:hAnsiTheme="minorEastAsia" w:eastAsiaTheme="minorEastAsia"/>
          <w:b/>
          <w:szCs w:val="21"/>
        </w:rPr>
      </w:pPr>
      <w:r/>
      <w:bookmarkStart w:id="7" w:name="_Toc116396221"/>
      <w:r/>
      <w:bookmarkStart w:id="8" w:name="_Toc116396542"/>
      <w:r>
        <w:rPr>
          <w:rFonts w:hint="eastAsia" w:cs="宋体" w:asciiTheme="minorEastAsia" w:hAnsiTheme="minorEastAsia" w:eastAsiaTheme="minorEastAsia"/>
          <w:b/>
          <w:szCs w:val="21"/>
        </w:rPr>
        <w:t xml:space="preserve">二、投标人</w:t>
      </w:r>
      <w:bookmarkEnd w:id="7"/>
      <w:r/>
      <w:bookmarkEnd w:id="8"/>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1、合格投标人的范围：</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详见“第一章投标邀请函”中投标人资格要求。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2、投标委托：</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如投标人代表不是法人，须持有《法定代表人授权委托书》（格式见附件）。授权投标人（质疑、投诉）必须为投标单位正式员工（提供社保证明）。</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3、投标费用：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无论投标过程中的做法和结果如何，投标人自行承担所有与参加投标有关的全部费用。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4、为保证项目质量，本项目不接受联合体投标，不得转包、分包。</w:t>
      </w:r>
      <w:r/>
    </w:p>
    <w:p>
      <w:pPr>
        <w:ind w:firstLine="422"/>
        <w:spacing w:line="360" w:lineRule="auto"/>
        <w:rPr>
          <w:rFonts w:cs="宋体" w:asciiTheme="minorEastAsia" w:hAnsiTheme="minorEastAsia" w:eastAsiaTheme="minorEastAsia"/>
          <w:b/>
          <w:szCs w:val="21"/>
        </w:rPr>
      </w:pPr>
      <w:r/>
      <w:bookmarkStart w:id="9" w:name="_Toc116396543"/>
      <w:r/>
      <w:bookmarkStart w:id="10" w:name="_Toc116396222"/>
      <w:r>
        <w:rPr>
          <w:rFonts w:hint="eastAsia" w:cs="宋体" w:asciiTheme="minorEastAsia" w:hAnsiTheme="minorEastAsia" w:eastAsiaTheme="minorEastAsia"/>
          <w:b/>
          <w:szCs w:val="21"/>
        </w:rPr>
        <w:t xml:space="preserve">三、招标文件的说明</w:t>
      </w:r>
      <w:bookmarkEnd w:id="9"/>
      <w:r/>
      <w:bookmarkEnd w:id="10"/>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1、招标文件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招标文件由招标文件总目录所列内容组成。投标人应详细阅读招标文件的全部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2、招标文件的澄清和修改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在提交投标文件截止时间前，澄清或者修改的内容作为招标文件的组成部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对于补充通知（包括更正公告），投标人通过“苏州市政府采购网”的“采购信息”自行查看项目的补充通知（包括更正公告）。补充通知（包括更正公告）将作为招标文件的组成部分，对所有投标人有约束力。</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2.4招标文件的澄清、修改、补充等内容均以苏州市政府采购网上发布的内容为准。</w:t>
      </w:r>
      <w:r/>
    </w:p>
    <w:p>
      <w:pPr>
        <w:ind w:firstLine="422"/>
        <w:spacing w:line="360" w:lineRule="auto"/>
        <w:rPr>
          <w:rFonts w:cs="宋体" w:asciiTheme="minorEastAsia" w:hAnsiTheme="minorEastAsia" w:eastAsiaTheme="minorEastAsia"/>
          <w:b/>
          <w:szCs w:val="21"/>
        </w:rPr>
      </w:pPr>
      <w:r/>
      <w:bookmarkStart w:id="11" w:name="_Toc116396544"/>
      <w:r/>
      <w:bookmarkStart w:id="12" w:name="_Toc116396223"/>
      <w:r/>
      <w:bookmarkStart w:id="13" w:name="_Toc8538_WPSOffice_Level1"/>
      <w:r>
        <w:rPr>
          <w:rFonts w:hint="eastAsia" w:cs="宋体" w:asciiTheme="minorEastAsia" w:hAnsiTheme="minorEastAsia" w:eastAsiaTheme="minorEastAsia"/>
          <w:b/>
          <w:szCs w:val="21"/>
        </w:rPr>
        <w:t xml:space="preserve">四、投标文件说明</w:t>
      </w:r>
      <w:bookmarkEnd w:id="11"/>
      <w:r/>
      <w:bookmarkEnd w:id="12"/>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1、投标文件计量单位和使用文字</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1.1投标文件中所使用的计量单位，除招标文件中有特殊要求外，应采用国家法定计量单位。</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1.2投标文件应使用中文编制，投标文件中必须使用其他文字的，必须附有中文译本。对于未附有中文译本和中文译本不准确的投标文件，由此引起对投标人不利后果的，招标代理人概不负责。</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2、电子投标文件的组成和顺序</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w:t>
      </w:r>
      <w:r>
        <w:rPr>
          <w:rFonts w:cs="宋体" w:asciiTheme="minorEastAsia" w:hAnsiTheme="minorEastAsia" w:eastAsiaTheme="minorEastAsia"/>
          <w:b/>
          <w:szCs w:val="21"/>
        </w:rPr>
        <w:t xml:space="preserve">1.</w:t>
      </w:r>
      <w:r>
        <w:rPr>
          <w:rFonts w:hint="eastAsia" w:cs="宋体" w:asciiTheme="minorEastAsia" w:hAnsiTheme="minorEastAsia" w:eastAsiaTheme="minorEastAsia"/>
          <w:b/>
          <w:szCs w:val="21"/>
        </w:rPr>
        <w:t xml:space="preserve">基本目录：</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2.1.1投标文件封面</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2.1.2开标一览表（格式见第三章</w:t>
      </w:r>
      <w:r>
        <w:rPr>
          <w:rFonts w:hint="eastAsia" w:cs="宋体" w:asciiTheme="minorEastAsia" w:hAnsiTheme="minorEastAsia" w:eastAsiaTheme="minorEastAsia"/>
          <w:szCs w:val="21"/>
        </w:rPr>
        <w:t xml:space="preserve">，</w:t>
      </w:r>
      <w:r>
        <w:rPr>
          <w:rFonts w:hint="eastAsia" w:ascii="宋体" w:hAnsi="宋体"/>
          <w:b/>
          <w:color w:val="ff0000"/>
          <w:szCs w:val="21"/>
        </w:rPr>
        <w:t xml:space="preserve">必须提供否则将被认定为未实质性响应招标文件要求</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2.2资格审查文件：</w:t>
      </w:r>
      <w:r/>
    </w:p>
    <w:p>
      <w:pPr>
        <w:ind w:firstLine="420"/>
        <w:spacing w:line="360" w:lineRule="auto"/>
        <w:rPr>
          <w:rFonts w:cs="宋体" w:asciiTheme="minorEastAsia" w:hAnsiTheme="minorEastAsia" w:eastAsiaTheme="minorEastAsia"/>
          <w:b/>
          <w:bCs/>
          <w:color w:val="ff0000"/>
          <w:szCs w:val="21"/>
        </w:rPr>
      </w:pPr>
      <w:r>
        <w:rPr>
          <w:rFonts w:hint="eastAsia" w:cs="宋体" w:asciiTheme="minorEastAsia" w:hAnsiTheme="minorEastAsia" w:eastAsiaTheme="minorEastAsia"/>
          <w:b/>
          <w:bCs/>
          <w:color w:val="ff0000"/>
          <w:szCs w:val="21"/>
        </w:rPr>
        <w:t xml:space="preserve">供应商必须提交“2.2.1-2.2.4”款规定的资料，否则将被认定为未实质性响应招标文件要求或资格审查不合格。</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2.2.1</w:t>
      </w:r>
      <w:r>
        <w:rPr>
          <w:rFonts w:cs="宋体" w:asciiTheme="minorEastAsia" w:hAnsiTheme="minorEastAsia" w:eastAsiaTheme="minorEastAsia"/>
          <w:szCs w:val="21"/>
        </w:rPr>
        <w:t xml:space="preserve">投标</w:t>
      </w:r>
      <w:r>
        <w:rPr>
          <w:rFonts w:hint="eastAsia" w:cs="宋体" w:asciiTheme="minorEastAsia" w:hAnsiTheme="minorEastAsia" w:eastAsiaTheme="minorEastAsia"/>
          <w:szCs w:val="21"/>
        </w:rPr>
        <w:t xml:space="preserve">供应商</w:t>
      </w:r>
      <w:r>
        <w:rPr>
          <w:rFonts w:cs="宋体" w:asciiTheme="minorEastAsia" w:hAnsiTheme="minorEastAsia" w:eastAsiaTheme="minorEastAsia"/>
          <w:szCs w:val="21"/>
        </w:rPr>
        <w:t xml:space="preserve">满足《中华人民共和国政府采购法》第二十二条规定</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2.2.1.1</w:t>
      </w:r>
      <w:r>
        <w:rPr>
          <w:rFonts w:cs="宋体" w:asciiTheme="minorEastAsia" w:hAnsiTheme="minorEastAsia" w:eastAsiaTheme="minorEastAsia"/>
          <w:szCs w:val="21"/>
        </w:rPr>
        <w:t xml:space="preserve">具有独立承担民事责任的能力（提供法人或者其他组织的营业执照等证明文件、自然人的身份证明）；</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2.2.1.2</w:t>
      </w:r>
      <w:r>
        <w:rPr>
          <w:rFonts w:cs="宋体" w:asciiTheme="minorEastAsia" w:hAnsiTheme="minorEastAsia" w:eastAsiaTheme="minorEastAsia"/>
          <w:szCs w:val="21"/>
        </w:rPr>
        <w:t xml:space="preserve">具有良好的商业信誉和健全的财务会计制度（格式见</w:t>
      </w:r>
      <w:r>
        <w:rPr>
          <w:rFonts w:hint="eastAsia" w:cs="宋体" w:asciiTheme="minorEastAsia" w:hAnsiTheme="minorEastAsia" w:eastAsiaTheme="minorEastAsia"/>
          <w:szCs w:val="21"/>
        </w:rPr>
        <w:t xml:space="preserve">第三章资格条件</w:t>
      </w:r>
      <w:r>
        <w:rPr>
          <w:rFonts w:cs="宋体" w:asciiTheme="minorEastAsia" w:hAnsiTheme="minorEastAsia" w:eastAsiaTheme="minorEastAsia"/>
          <w:szCs w:val="21"/>
        </w:rPr>
        <w:t xml:space="preserve">承诺函或提供相应证明材料）；</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2.2.1.3</w:t>
      </w:r>
      <w:r>
        <w:rPr>
          <w:rFonts w:cs="宋体" w:asciiTheme="minorEastAsia" w:hAnsiTheme="minorEastAsia" w:eastAsiaTheme="minorEastAsia"/>
          <w:szCs w:val="21"/>
        </w:rPr>
        <w:t xml:space="preserve">具有履行合同所必需的设备和专业技术能力（格式见</w:t>
      </w:r>
      <w:r>
        <w:rPr>
          <w:rFonts w:hint="eastAsia" w:cs="宋体" w:asciiTheme="minorEastAsia" w:hAnsiTheme="minorEastAsia" w:eastAsiaTheme="minorEastAsia"/>
          <w:szCs w:val="21"/>
        </w:rPr>
        <w:t xml:space="preserve">第三章资格条件</w:t>
      </w:r>
      <w:r>
        <w:rPr>
          <w:rFonts w:cs="宋体" w:asciiTheme="minorEastAsia" w:hAnsiTheme="minorEastAsia" w:eastAsiaTheme="minorEastAsia"/>
          <w:szCs w:val="21"/>
        </w:rPr>
        <w:t xml:space="preserve">承诺函或提供相应证明材料）；</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2.2.1.4</w:t>
      </w:r>
      <w:r>
        <w:rPr>
          <w:rFonts w:cs="宋体" w:asciiTheme="minorEastAsia" w:hAnsiTheme="minorEastAsia" w:eastAsiaTheme="minorEastAsia"/>
          <w:szCs w:val="21"/>
        </w:rPr>
        <w:t xml:space="preserve">具有依法缴纳税收和社会保障资金的良好记录（格式见</w:t>
      </w:r>
      <w:r>
        <w:rPr>
          <w:rFonts w:hint="eastAsia" w:cs="宋体" w:asciiTheme="minorEastAsia" w:hAnsiTheme="minorEastAsia" w:eastAsiaTheme="minorEastAsia"/>
          <w:szCs w:val="21"/>
        </w:rPr>
        <w:t xml:space="preserve">第三章资格条件</w:t>
      </w:r>
      <w:r>
        <w:rPr>
          <w:rFonts w:cs="宋体" w:asciiTheme="minorEastAsia" w:hAnsiTheme="minorEastAsia" w:eastAsiaTheme="minorEastAsia"/>
          <w:szCs w:val="21"/>
        </w:rPr>
        <w:t xml:space="preserve">承诺函或提供相应证明材料）；</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2.2.1.5</w:t>
      </w:r>
      <w:r>
        <w:rPr>
          <w:rFonts w:cs="宋体" w:asciiTheme="minorEastAsia" w:hAnsiTheme="minorEastAsia" w:eastAsiaTheme="minorEastAsia"/>
          <w:szCs w:val="21"/>
        </w:rPr>
        <w:t xml:space="preserve">参加政府采购活动前三年内，在经营活动中没有重大违法记录（格式见</w:t>
      </w:r>
      <w:r>
        <w:rPr>
          <w:rFonts w:hint="eastAsia" w:cs="宋体" w:asciiTheme="minorEastAsia" w:hAnsiTheme="minorEastAsia" w:eastAsiaTheme="minorEastAsia"/>
          <w:szCs w:val="21"/>
        </w:rPr>
        <w:t xml:space="preserve">第三章资格条件</w:t>
      </w:r>
      <w:r>
        <w:rPr>
          <w:rFonts w:cs="宋体" w:asciiTheme="minorEastAsia" w:hAnsiTheme="minorEastAsia" w:eastAsiaTheme="minorEastAsia"/>
          <w:szCs w:val="21"/>
        </w:rPr>
        <w:t xml:space="preserve">承诺函或提供相应证明材料）</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2.2.2</w:t>
      </w:r>
      <w:r>
        <w:rPr>
          <w:rFonts w:cs="宋体" w:asciiTheme="minorEastAsia" w:hAnsiTheme="minorEastAsia" w:eastAsiaTheme="minorEastAsia"/>
          <w:szCs w:val="21"/>
        </w:rPr>
        <w:t xml:space="preserve">投标</w:t>
      </w:r>
      <w:r>
        <w:rPr>
          <w:rFonts w:hint="eastAsia" w:cs="宋体" w:asciiTheme="minorEastAsia" w:hAnsiTheme="minorEastAsia" w:eastAsiaTheme="minorEastAsia"/>
          <w:szCs w:val="21"/>
        </w:rPr>
        <w:t xml:space="preserve">供应商</w:t>
      </w:r>
      <w:r>
        <w:rPr>
          <w:rFonts w:cs="宋体" w:asciiTheme="minorEastAsia" w:hAnsiTheme="minorEastAsia" w:eastAsiaTheme="minorEastAsia"/>
          <w:szCs w:val="21"/>
        </w:rPr>
        <w:t xml:space="preserve">符合相关扶持政策的证明材料</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cs="宋体" w:asciiTheme="minorEastAsia" w:hAnsiTheme="minorEastAsia" w:eastAsiaTheme="minorEastAsia"/>
          <w:b/>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2.2.2.1中小企业声明函（此声明函格式见第三章）；</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2.2.2.2</w:t>
      </w:r>
      <w:r>
        <w:rPr>
          <w:rFonts w:cs="宋体" w:asciiTheme="minorEastAsia" w:hAnsiTheme="minorEastAsia" w:eastAsiaTheme="minorEastAsia"/>
          <w:szCs w:val="21"/>
        </w:rPr>
        <w:t xml:space="preserve">残疾人福利性单位声明函</w:t>
      </w:r>
      <w:r>
        <w:rPr>
          <w:rFonts w:hint="eastAsia" w:cs="宋体" w:asciiTheme="minorEastAsia" w:hAnsiTheme="minorEastAsia" w:eastAsiaTheme="minorEastAsia"/>
          <w:szCs w:val="21"/>
        </w:rPr>
        <w:t xml:space="preserve">（此声明函格式见第三章）；</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2.2.2.3监狱企业证明文件；</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2.2.</w:t>
      </w:r>
      <w:r>
        <w:rPr>
          <w:rFonts w:hint="eastAsia" w:cs="宋体" w:asciiTheme="minorEastAsia" w:hAnsiTheme="minorEastAsia" w:eastAsiaTheme="minorEastAsia"/>
          <w:szCs w:val="21"/>
        </w:rPr>
        <w:t xml:space="preserve">3未被“信用中国”网站（www.creditchina.gov.cn）列入失信被执行人、重大税收违法案件当事人名单、政府采购严重失信行为记录名单，提供查询截图</w:t>
      </w:r>
      <w:r>
        <w:rPr>
          <w:rFonts w:hint="eastAsia" w:ascii="宋体" w:hAnsi="宋体"/>
          <w:b/>
          <w:bCs/>
          <w:szCs w:val="21"/>
        </w:rPr>
        <w:t xml:space="preserve">（查询方式：“信用中国”首页→“专项查询”版块→根据要求分别查询）</w:t>
      </w:r>
      <w:r>
        <w:rPr>
          <w:rFonts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2.2.</w:t>
      </w:r>
      <w:r>
        <w:rPr>
          <w:rFonts w:hint="eastAsia" w:cs="宋体" w:asciiTheme="minorEastAsia" w:hAnsiTheme="minorEastAsia" w:eastAsiaTheme="minorEastAsia"/>
          <w:szCs w:val="21"/>
        </w:rPr>
        <w:t xml:space="preserve">4法定代表人授权委托书、双方身份证（如有授权，必须提供，格式见第三章）</w:t>
      </w:r>
      <w:r>
        <w:rPr>
          <w:rFonts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2.3符合性审查文件：</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公开分项报价表（格式见第三章</w:t>
      </w:r>
      <w:r>
        <w:rPr>
          <w:rFonts w:hint="eastAsia" w:cs="宋体" w:asciiTheme="minorEastAsia" w:hAnsiTheme="minorEastAsia" w:eastAsiaTheme="minorEastAsia"/>
          <w:szCs w:val="21"/>
        </w:rPr>
        <w:t xml:space="preserve">，</w:t>
      </w:r>
      <w:r>
        <w:rPr>
          <w:rFonts w:hint="eastAsia" w:ascii="宋体" w:hAnsi="宋体"/>
          <w:b/>
          <w:color w:val="ff0000"/>
          <w:szCs w:val="21"/>
        </w:rPr>
        <w:t xml:space="preserve">必须提供否则将被认定为未实质性响应招标文件要求</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2.3.2投标承诺函（格式见第三章，</w:t>
      </w:r>
      <w:r>
        <w:rPr>
          <w:rFonts w:hint="eastAsia" w:ascii="宋体" w:hAnsi="宋体"/>
          <w:b/>
          <w:color w:val="ff0000"/>
          <w:szCs w:val="21"/>
        </w:rPr>
        <w:t xml:space="preserve">必须提供否则将被认定为未实质性响应招标文件要求</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2.3.3偏离表（格式见第三章，</w:t>
      </w:r>
      <w:r>
        <w:rPr>
          <w:rFonts w:hint="eastAsia" w:ascii="宋体" w:hAnsi="宋体"/>
          <w:b/>
          <w:color w:val="ff0000"/>
          <w:szCs w:val="21"/>
        </w:rPr>
        <w:t xml:space="preserve">必须提供否则将被认定为未实质性响应招标文件要求</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w:t>
      </w:r>
      <w:r>
        <w:rPr>
          <w:rFonts w:cs="宋体" w:asciiTheme="minorEastAsia" w:hAnsiTheme="minorEastAsia" w:eastAsiaTheme="minorEastAsia"/>
          <w:szCs w:val="21"/>
        </w:rPr>
        <w:t xml:space="preserve">投标单位情况表（格式见第三章</w:t>
      </w:r>
      <w:r>
        <w:rPr>
          <w:rFonts w:hint="eastAsia" w:cs="宋体" w:asciiTheme="minorEastAsia" w:hAnsiTheme="minorEastAsia" w:eastAsiaTheme="minorEastAsia"/>
          <w:szCs w:val="21"/>
        </w:rPr>
        <w:t xml:space="preserve">，</w:t>
      </w:r>
      <w:r>
        <w:rPr>
          <w:rFonts w:hint="eastAsia" w:ascii="宋体" w:hAnsi="宋体"/>
          <w:b/>
          <w:color w:val="ff0000"/>
          <w:szCs w:val="21"/>
        </w:rPr>
        <w:t xml:space="preserve">必须提供否则将被认定为未实质性响应招标文件要求</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5</w:t>
      </w:r>
      <w:r>
        <w:rPr>
          <w:rFonts w:cs="宋体" w:asciiTheme="minorEastAsia" w:hAnsiTheme="minorEastAsia" w:eastAsiaTheme="minorEastAsia"/>
          <w:szCs w:val="21"/>
        </w:rPr>
        <w:t xml:space="preserve">关于资格文件的声明函（格式见第三章</w:t>
      </w:r>
      <w:r>
        <w:rPr>
          <w:rFonts w:hint="eastAsia" w:cs="宋体" w:asciiTheme="minorEastAsia" w:hAnsiTheme="minorEastAsia" w:eastAsiaTheme="minorEastAsia"/>
          <w:szCs w:val="21"/>
        </w:rPr>
        <w:t xml:space="preserve">，</w:t>
      </w:r>
      <w:r>
        <w:rPr>
          <w:rFonts w:hint="eastAsia" w:ascii="宋体" w:hAnsi="宋体"/>
          <w:b/>
          <w:color w:val="ff0000"/>
          <w:szCs w:val="21"/>
        </w:rPr>
        <w:t xml:space="preserve">必须提供否则将被认定为未实质性响应招标文件要求</w:t>
      </w:r>
      <w:r>
        <w:rPr>
          <w:rFonts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2.3.6</w:t>
      </w:r>
      <w:r>
        <w:rPr>
          <w:rFonts w:cs="宋体" w:asciiTheme="minorEastAsia" w:hAnsiTheme="minorEastAsia" w:eastAsiaTheme="minorEastAsia"/>
          <w:szCs w:val="21"/>
        </w:rPr>
        <w:t xml:space="preserve">远程参与开标会议诚信承诺书（格式见第三章）</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2.4综合评审文件：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2.4.1维护方案；</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2.4.2</w:t>
      </w:r>
      <w:r>
        <w:rPr>
          <w:rFonts w:hint="eastAsia" w:cs="宋体" w:asciiTheme="minorEastAsia" w:hAnsiTheme="minorEastAsia" w:eastAsiaTheme="minorEastAsia"/>
          <w:szCs w:val="21"/>
        </w:rPr>
        <w:t xml:space="preserve">人员配置</w:t>
      </w:r>
      <w:r>
        <w:rPr>
          <w:rFonts w:cs="宋体" w:asciiTheme="minorEastAsia" w:hAnsiTheme="minorEastAsia" w:eastAsiaTheme="minorEastAsia"/>
          <w:szCs w:val="21"/>
        </w:rPr>
        <w:t xml:space="preserve">情况表</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类似</w:t>
      </w:r>
      <w:r>
        <w:rPr>
          <w:rFonts w:hint="eastAsia" w:cs="宋体" w:asciiTheme="minorEastAsia" w:hAnsiTheme="minorEastAsia" w:eastAsiaTheme="minorEastAsia"/>
          <w:szCs w:val="21"/>
        </w:rPr>
        <w:t xml:space="preserve">业绩</w:t>
      </w:r>
      <w:r>
        <w:rPr>
          <w:rFonts w:cs="宋体" w:asciiTheme="minorEastAsia" w:hAnsiTheme="minorEastAsia" w:eastAsiaTheme="minorEastAsia"/>
          <w:szCs w:val="21"/>
        </w:rPr>
        <w:t xml:space="preserve">一览表（格式见第三章）；</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2.4.3评审所需的相关证明材料</w:t>
      </w:r>
      <w:r>
        <w:rPr>
          <w:rFonts w:hint="eastAsia" w:cs="宋体" w:asciiTheme="minorEastAsia" w:hAnsiTheme="minorEastAsia" w:eastAsiaTheme="minorEastAsia"/>
          <w:szCs w:val="21"/>
        </w:rPr>
        <w:t xml:space="preserve">。</w:t>
      </w:r>
      <w:r/>
    </w:p>
    <w:p>
      <w:pPr>
        <w:ind w:firstLine="422"/>
        <w:spacing w:line="360" w:lineRule="auto"/>
        <w:rPr>
          <w:rFonts w:ascii="宋体" w:hAnsi="宋体"/>
          <w:b/>
          <w:bCs/>
          <w:szCs w:val="21"/>
        </w:rPr>
      </w:pPr>
      <w:r>
        <w:rPr>
          <w:rFonts w:hint="eastAsia" w:ascii="宋体" w:hAnsi="宋体"/>
          <w:b/>
          <w:bCs/>
          <w:szCs w:val="21"/>
        </w:rPr>
        <w:t xml:space="preserve">2.5绿色采购</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若本次采购货物中包含有《节能产品政府采购品目清单》中规定的政府强制采购产品的，供应商须在投标文件中提供产品有效期内的认证证书扫描件等相关证明材料，</w:t>
      </w:r>
      <w:r>
        <w:rPr>
          <w:rFonts w:cs="宋体" w:asciiTheme="minorEastAsia" w:hAnsiTheme="minorEastAsia" w:eastAsiaTheme="minorEastAsia"/>
          <w:b/>
          <w:bCs/>
          <w:szCs w:val="21"/>
        </w:rPr>
        <w:t xml:space="preserve">否则将被认定为未实质性响应招标文件要求。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w:t>
      </w:r>
      <w:r>
        <w:rPr>
          <w:rFonts w:cs="宋体" w:asciiTheme="minorEastAsia" w:hAnsiTheme="minorEastAsia" w:eastAsiaTheme="minorEastAsia"/>
          <w:szCs w:val="21"/>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spacing w:line="360" w:lineRule="auto"/>
        <w:rPr>
          <w:rFonts w:ascii="宋体" w:hAnsi="宋体"/>
          <w:b/>
          <w:color w:val="000000"/>
          <w:szCs w:val="21"/>
        </w:rPr>
      </w:pPr>
      <w:r>
        <w:rPr>
          <w:rFonts w:hint="eastAsia" w:ascii="宋体" w:hAnsi="宋体"/>
          <w:b/>
          <w:color w:val="000000"/>
          <w:szCs w:val="21"/>
        </w:rPr>
        <w:t xml:space="preserve">2.6注意事项：</w:t>
      </w:r>
      <w:r/>
    </w:p>
    <w:p>
      <w:pPr>
        <w:ind w:firstLine="422"/>
        <w:spacing w:line="360" w:lineRule="auto"/>
        <w:rPr>
          <w:rFonts w:ascii="宋体" w:hAnsi="宋体"/>
          <w:b/>
          <w:color w:val="000000"/>
          <w:szCs w:val="21"/>
        </w:rPr>
      </w:pPr>
      <w:r>
        <w:rPr>
          <w:rFonts w:hint="eastAsia" w:ascii="宋体" w:hAnsi="宋体"/>
          <w:b/>
          <w:color w:val="000000"/>
          <w:szCs w:val="21"/>
        </w:rPr>
        <w:t xml:space="preserve">（1）资格审查文件中要求必须提供的材料，供应商必须提供并加盖公章，</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color w:val="000000"/>
          <w:szCs w:val="21"/>
        </w:rPr>
      </w:pPr>
      <w:r>
        <w:rPr>
          <w:rFonts w:hint="eastAsia" w:ascii="宋体" w:hAnsi="宋体"/>
          <w:b/>
          <w:color w:val="000000"/>
          <w:szCs w:val="21"/>
        </w:rPr>
        <w:t xml:space="preserve">（2）符合性审查文件要求必须提供的材料，供应商必须提供并加盖公章，</w:t>
      </w:r>
      <w:r>
        <w:rPr>
          <w:rFonts w:hint="eastAsia" w:ascii="宋体" w:hAnsi="宋体"/>
          <w:b/>
          <w:color w:val="ff0000"/>
          <w:szCs w:val="21"/>
        </w:rPr>
        <w:t xml:space="preserve">否则将被认定为未实质性响应招标文件要求。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cs="宋体" w:asciiTheme="minorEastAsia" w:hAnsiTheme="minorEastAsia" w:eastAsiaTheme="minorEastAsia"/>
          <w:b/>
          <w:szCs w:val="21"/>
        </w:rPr>
      </w:pPr>
      <w:r>
        <w:rPr>
          <w:rFonts w:hint="eastAsia" w:ascii="宋体" w:hAnsi="宋体"/>
          <w:b/>
          <w:color w:val="000000"/>
          <w:szCs w:val="21"/>
        </w:rPr>
        <w:t xml:space="preserve">（5）供应商根据招标文件的规定和采购项目的实际情况，拟在中标后将中标项目的非主体、非关键性工作分包的，应当在投标文件中载明分包承担主体，分包承担主体应当具备相应资质条件且不得再次分包。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3、投标文件编制说明</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3.1电子投标文件按招标文件规定的格式制作，需盖章或签字之处，应加盖电子签章，如果未按要求制作上传，将被认定为未实质性响应招标文件要求。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3.2开标一览表为在开标仪式上网上唱标的内容，要求按格式填写，统一规范，不得自行增减内容（格式见第三章）。</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4、对本次投标的详细的维护方案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对本次投标的详细说明由投标人视各自的情况自行编制，规格幅面应与正文一致，附于正文之</w:t>
      </w:r>
      <w:r>
        <w:rPr>
          <w:rFonts w:hint="eastAsia" w:cs="宋体" w:asciiTheme="minorEastAsia" w:hAnsiTheme="minorEastAsia" w:eastAsiaTheme="minorEastAsia"/>
          <w:szCs w:val="21"/>
        </w:rPr>
        <w:t xml:space="preserve">后，与正文页码统一编目编码装订成册。</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5、投标报价</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5.1</w:t>
      </w:r>
      <w:r>
        <w:rPr>
          <w:rFonts w:hint="eastAsia" w:ascii="宋体" w:hAnsi="宋体"/>
          <w:szCs w:val="21"/>
        </w:rPr>
        <w:t xml:space="preserve">综合单价包括完成本项目服务所需的人工费、材料费、机械费、备品备件费、管理费、安全文明施工费、夜间施工费、冬雨季施工费、规费、税金、企业管理费及利润等其他一切费用</w:t>
      </w:r>
      <w:r>
        <w:rPr>
          <w:rFonts w:hint="eastAsia" w:cs="Arial" w:asciiTheme="minorEastAsia" w:hAnsiTheme="minorEastAsia" w:eastAsiaTheme="minorEastAsia"/>
          <w:szCs w:val="21"/>
        </w:rPr>
        <w:t xml:space="preserve">。</w:t>
      </w:r>
      <w:r>
        <w:rPr>
          <w:rFonts w:hint="eastAsia" w:cs="宋体" w:asciiTheme="minorEastAsia" w:hAnsiTheme="minorEastAsia" w:eastAsiaTheme="minorEastAsia"/>
          <w:szCs w:val="21"/>
        </w:rPr>
        <w:t xml:space="preserve">除非因特殊原因并经双方协商同意，投标单位不得再要求追加任何费用。同时，除非合同条款中另有规定，否则，综合单价所报价格在合同实施期间不因市场变化因素而变动。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5.2投标人应按《公开分项报价表》中的整个投标项目计算折扣率和综合折扣单价。《公开分项报价表》中的每一单项均应计算并填写折扣比例和综合折扣单价，并由法定代表人或被授权人签署加盖公章或电子签章。</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投标人应对招标文件内所要采购的全部内容进行报价，只投其中部分内容者，则投标为无效标。但如果招标文件要求分采购包投标的，则投标人可以根据自己经营许可内容有选择地只投其中一个或几个或全部采购包，但各采购包应分别计算填写单价和总价。</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5.4一项投标内容只允许一个报价，招标代理人不接受任何有选择性的投标报价。</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5.5投标文件报价中的综合折扣单价全部采用人民币表示，合同的主要条款另有规定的除外。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5.6供应商的任何错漏、优惠、竞争性报价不得作为减轻责任、减少服务、增加收费、降低质量的理由。</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5.7最低报价不能作为中标的保证。</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6、投标文件的有效期</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6.1自开标日起90天内，投标书应保持有效。有效期短于这个规定期限的投标，将被拒绝。</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6.2在特殊情况下，招标人可与投标人协商延长投标书的有效期。这种要求和答复都应以书面、传真或媒体发布的方式进行。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p>
    <w:p>
      <w:pPr>
        <w:ind w:firstLine="422"/>
        <w:spacing w:line="360" w:lineRule="auto"/>
        <w:rPr>
          <w:rFonts w:cs="宋体" w:asciiTheme="minorEastAsia" w:hAnsiTheme="minorEastAsia" w:eastAsiaTheme="minorEastAsia"/>
          <w:b/>
          <w:szCs w:val="21"/>
        </w:rPr>
      </w:pPr>
      <w:r/>
      <w:bookmarkStart w:id="14" w:name="_Toc116396224"/>
      <w:r/>
      <w:bookmarkStart w:id="15" w:name="_Toc116396545"/>
      <w:r>
        <w:rPr>
          <w:rFonts w:hint="eastAsia" w:cs="宋体" w:asciiTheme="minorEastAsia" w:hAnsiTheme="minorEastAsia" w:eastAsiaTheme="minorEastAsia"/>
          <w:b/>
          <w:szCs w:val="21"/>
        </w:rPr>
        <w:t xml:space="preserve">五、</w:t>
      </w:r>
      <w:bookmarkEnd w:id="14"/>
      <w:r/>
      <w:bookmarkEnd w:id="15"/>
      <w:r>
        <w:rPr>
          <w:rFonts w:hint="eastAsia" w:cs="宋体" w:asciiTheme="minorEastAsia" w:hAnsiTheme="minorEastAsia" w:eastAsiaTheme="minorEastAsia"/>
          <w:b/>
          <w:szCs w:val="21"/>
        </w:rPr>
        <w:t xml:space="preserve">投标文件的制作、上传、撤回及修改</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5.1投标文件的制作、上传</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5.1.1本项目采用电子招投标形式，请供应商按照《苏采云系统供应商操作手册》进行制作、在投标截止时间前上传电子投标文件。</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5.1.2制作电子投标文件时，应按照招标文件要求加盖投标人电子公章。</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5.1.3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5.2、投标文件的递交</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5.2.1投标人应当在在投标截止时间前制作并上传电子投标文件</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5.2.2投标人通过“苏采云”系统不见面开标大厅在线参与开标活动。（具体操作详见《苏采云系统供应商操作手册》，网址链接</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https://czju.suzhou.gov.cn/zfcg/html/content/20231220161910031.shtml）</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5.3．投标截止时间</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5.3.1 投标人上传电子投标文件的时间不得迟于招标公告中规定的投标截止时间。</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5.3.2采购人和采购代理机构推迟投标截止时间时，将按本须知规定以更正公告的方式对外发布。在这种情况下，采购人、采购代理机构和投标人的权利和义务将受到新的截止期的约束。</w:t>
      </w:r>
      <w:r/>
    </w:p>
    <w:p>
      <w:pPr>
        <w:ind w:firstLine="422"/>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5.4投标文件的拒收</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代理机构拒绝接收在其规定的投标截止时间后上传的任何投标文件</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5.5投标文件的撤回和修改</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5.5.1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5.5.2投标人在投标文件网上提交截止时间前，可以撤回其电子投标文件，具体操作方法见《苏采云系统供应商操作手册》。投标人撤回电子投标文件，则认为其不再参与本项目投标活。</w:t>
      </w:r>
      <w:r/>
    </w:p>
    <w:p>
      <w:pPr>
        <w:ind w:firstLine="422"/>
        <w:spacing w:line="360" w:lineRule="auto"/>
        <w:rPr>
          <w:rFonts w:cs="宋体" w:asciiTheme="minorEastAsia" w:hAnsiTheme="minorEastAsia" w:eastAsiaTheme="minorEastAsia"/>
          <w:b/>
          <w:szCs w:val="21"/>
        </w:rPr>
      </w:pPr>
      <w:r/>
      <w:bookmarkStart w:id="16" w:name="_Toc116396225"/>
      <w:r/>
      <w:bookmarkStart w:id="17" w:name="_Toc116396546"/>
      <w:r>
        <w:rPr>
          <w:rFonts w:hint="eastAsia" w:cs="宋体" w:asciiTheme="minorEastAsia" w:hAnsiTheme="minorEastAsia" w:eastAsiaTheme="minorEastAsia"/>
          <w:b/>
          <w:szCs w:val="21"/>
        </w:rPr>
        <w:t xml:space="preserve">六、开标和评标</w:t>
      </w:r>
      <w:bookmarkEnd w:id="16"/>
      <w:r/>
      <w:bookmarkEnd w:id="17"/>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1、开标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开标由采购代理机构在线主持，邀请投标人在线参加。投标人应当按照《苏采云系统供应商操作手册》规定，参加开标活动。评标委员会成员不得参加开标活动</w:t>
      </w:r>
      <w:r>
        <w:rPr>
          <w:rFonts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远程开标时须</w:t>
      </w:r>
      <w:r>
        <w:rPr>
          <w:rFonts w:hint="eastAsia" w:ascii="宋体" w:hAnsi="宋体" w:cs="宋体"/>
          <w:b/>
          <w:szCs w:val="21"/>
        </w:rPr>
        <w:t xml:space="preserve">在“苏采云”系统规定的时间内对投标文件进行解密</w:t>
      </w:r>
      <w:r>
        <w:rPr>
          <w:rFonts w:hint="eastAsia" w:cs="宋体" w:asciiTheme="minorEastAsia" w:hAnsiTheme="minorEastAsia" w:eastAsiaTheme="minorEastAsia"/>
          <w:szCs w:val="21"/>
        </w:rPr>
        <w:t xml:space="preserve">。各投标单位参与远程开标时需要随身携带CA证书及CA密码，输入CA密码的时间不超过苏采云系统解密的限制时间且CA密码输入次数不超过十次（以CA内置的错误计数为准），否则视为无效响应</w:t>
      </w:r>
      <w:r>
        <w:rPr>
          <w:rFonts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2、评标委员会或评标小组</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2.1评标委员会或评标小组（以下简称评标委员会）由采购单位依法组建。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2.2评标委员会或评标小组负责具体的评标事务，并独立履行以下职责：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2.2.1审查、评价投标文件是否符合招标文件的商务、技术等实质性要求。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2.2.2可以要求投标供应商对投标文件有关事项作出解释或澄清。</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2.2.3对投标文件进行比较和评价</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2.2.4推荐中标候选供应商名单，或者受招标人委托按照事先确定的办法直接确定中标人。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2.2.5向采购人、采购代理机构或者有关部门报告评标中发现的违法行为。</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2.3评标委员会成员应当履行下列义务：</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2.3.1遵纪守法，客观、公正、廉洁地履行职责。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2.3.2按照招标文件规定的评标办法和评标标准进行评标，对评审意见承担个人责任。</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2.3.3对评标过程和结果，以及投标人的商业秘密保密。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2.3.4评标委员会根据全体评标成员签字的原始评标记录和评标结果编写评标报告。评标报告应当包括以下内容： </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2.3.4.1招标公告刊登的媒体名称、开标日期和地点；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2.3.4.2投标人名单和评标委员会成员名单；</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2.3.4.3评标方法和标准；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2.3.4.4开标记录和评标情况及说明，包括无效投标人名单及原因；</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2.3.4.5评标结果，确定的中标候选人名单或者经采购人委托直接确定的中标人；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2.3.4.6其他需要说明的情况，包括评标过程中投标人根据评标委员会要求进行的澄清、说明或者补正，评标委员会成员的更换等。</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2.3.5配合财政部门的投诉处理工作。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2.3.6配合采购人和采购代理机构答复投标人提出的质疑。</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3、评标内容的保密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3.1凡是与审查、澄清、评价和比较投标的有关资料以及授标建议等，采购人、评委、代理机构均不得向投标人或与评标无关的其他人员透露。</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3.2在评标过程中，投标人不得以任何行为影响评标过程，否则其投标文件将被作为无效投标文件。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3.3代理机构和评标委员会不向未中标的投标人解释未中标原因，也不公布评标过程中的相关细节。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3.4采用综合评分法的项目，未中标的投标人中标结果公告发布后可通过苏采云系统查看自己的评审得分及排序情况。</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4、对投标人及投标文件的审核</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4.1投标文件初审分为资格审查和符合性审查</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4.1.1资格审查：采购人应当依法对投标人的资格进行审查，未通过资格审查的视为无效投标。</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4.1.2</w:t>
      </w:r>
      <w:r>
        <w:rPr>
          <w:rFonts w:hint="eastAsia" w:cs="宋体" w:asciiTheme="minorEastAsia" w:hAnsiTheme="minorEastAsia" w:eastAsiaTheme="minorEastAsia"/>
          <w:szCs w:val="21"/>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4.1.3查询时间：进入评审环节前。</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4.1.4查询证据留存方式：打印查询的信用报告，由评标委员会进行认定。</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4.1.5符合性审查：依据招标文件的规定，由评委会从投标文件的有效性、完整性和对招标文件的响应程度进行审查，以确定是否对招标文件的实质性要求作出响应。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4.1.6未通过资格审查或符合性审查的投标人，代理机构将在苏采云系统中告知未通过资格审查或符合性审查的原因，评标结束后，代理机构将不再告知未通过资格审查和符合性审查的原因。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4.2.1投标人的投标文件未按照本须知规定制作的；</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4.2.2未按本须知规定提交资格文件；</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4.2.3与招标文件有重大偏离；</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4.2.4投标人拒绝修正错误；</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4.2.5投标人的报价是选择性的；</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4.2.6投标人的报价只投了部分内容；</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4.2.7投标人的投标文件出现了评标委员会认为不应当雷同的情况；</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4.2.8其他被评委会认定无效的情况。</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4.4评委会将对确定为实质性响应的投标进行进一步审核，确定其是否有计算上或累加上的算术错误，修正错误的原则如下：</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4.4.1投标文件中开标一览表内容与投标文件中相应内容不一致的，以开标一览表为准；</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4.4.2大写金额和小写金额不一致的，以大写金额为准；</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4.4.3单价金额小数点或者百分比有明显错位的，以开标一览表的总价为准，并修改单价；</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4.4.4总价金额与按单价汇总金额不一致的，以单价金额计算结果为准。</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4.6投标人在开、评标全过程中应保持通讯畅通，及时登录苏采云系统查阅、答复相关信息。</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5、投标文件的澄清</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5.2投标人的澄清、说明或者补正应当采用书面形式，并加盖其单位电子公章。投标人的澄清、说明或者补正不得超出投标文件的范围或者改变投标文件的实质性内容。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6.异常低价投标审查：</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评审过程中出现下列情形之一的，评审委员会应当启动异常低价投标审查程序：</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6.1投标报价低于采购项目预算50%的，即投标报价&lt;采购项目预算×50%；</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6.2投标报价低于采购项目最高限价45%的，即投标报价&lt;采购项目最高限价×45%；</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6.3评审委员会认定的供应商报价过低、有可能影响产品质量或者不能诚信履约的其他情形。</w:t>
      </w:r>
      <w:r/>
    </w:p>
    <w:p>
      <w:pPr>
        <w:ind w:firstLine="420"/>
        <w:spacing w:line="360" w:lineRule="auto"/>
      </w:pPr>
      <w:r>
        <w:rPr>
          <w:rFonts w:hint="eastAsia" w:cs="宋体" w:asciiTheme="minorEastAsia" w:hAnsiTheme="minorEastAsia" w:eastAsiaTheme="minorEastAsia"/>
          <w:szCs w:val="21"/>
        </w:rPr>
        <w:t xml:space="preserve">7.启动异常低价投标审查后，评审委员会应当要求相关供应商在评标现场合理的时间内（30分钟以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r>
        <w:rPr>
          <w:rFonts w:cs="宋体" w:asciiTheme="minorEastAsia" w:hAnsiTheme="minorEastAsia" w:eastAsiaTheme="minorEastAsia"/>
          <w:b/>
          <w:szCs w:val="21"/>
        </w:rPr>
        <w:t xml:space="preserve">、无效投标条款和废标条款</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r>
        <w:rPr>
          <w:rFonts w:cs="宋体" w:asciiTheme="minorEastAsia" w:hAnsiTheme="minorEastAsia" w:eastAsiaTheme="minorEastAsia"/>
          <w:b/>
          <w:szCs w:val="21"/>
        </w:rPr>
        <w:t xml:space="preserve">.1无效投标条款</w:t>
      </w:r>
      <w:r>
        <w:rPr>
          <w:rFonts w:hint="eastAsia" w:cs="宋体" w:asciiTheme="minorEastAsia" w:hAnsiTheme="minorEastAsia" w:eastAsiaTheme="minorEastAsia"/>
          <w:b/>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.1.1投标人在苏采云系统规定的时间内未成功解密电子投标文件的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.1.2投标人未按照招标文件要求上传电子投标文件的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.1.3同一投标人提交两个（含两个）以上不同的投标报价的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.1.4投标人不具备招标文件中规定资格要求的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.1.5投标人的报价超过了</w:t>
      </w:r>
      <w:r>
        <w:rPr>
          <w:rFonts w:hint="eastAsia" w:cs="宋体" w:asciiTheme="minorEastAsia" w:hAnsiTheme="minorEastAsia" w:eastAsiaTheme="minorEastAsia"/>
          <w:szCs w:val="21"/>
        </w:rPr>
        <w:t xml:space="preserve">采购包</w:t>
      </w:r>
      <w:r>
        <w:rPr>
          <w:rFonts w:cs="宋体" w:asciiTheme="minorEastAsia" w:hAnsiTheme="minorEastAsia" w:eastAsiaTheme="minorEastAsia"/>
          <w:szCs w:val="21"/>
        </w:rPr>
        <w:t xml:space="preserve">预算</w:t>
      </w:r>
      <w:r>
        <w:rPr>
          <w:rFonts w:hint="eastAsia" w:cs="宋体" w:asciiTheme="minorEastAsia" w:hAnsiTheme="minorEastAsia" w:eastAsiaTheme="minorEastAsia"/>
          <w:szCs w:val="21"/>
        </w:rPr>
        <w:t xml:space="preserve">金额</w:t>
      </w:r>
      <w:r>
        <w:rPr>
          <w:rFonts w:cs="宋体" w:asciiTheme="minorEastAsia" w:hAnsiTheme="minorEastAsia" w:eastAsiaTheme="minorEastAsia"/>
          <w:szCs w:val="21"/>
        </w:rPr>
        <w:t xml:space="preserve">或最高限价的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.1.6未通过符合性审查的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.1.7不符合招标文件中规定的实质性要求和条件的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.1.9投标文件含有采购人不能接受的附加条件的</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.1.11投标文件未按照招标文件要求加盖CA电子公章的。</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.1.12其他法律、法规及本招标文件规定的属无效投标的情形。</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7</w:t>
      </w:r>
      <w:r>
        <w:rPr>
          <w:rFonts w:cs="宋体" w:asciiTheme="minorEastAsia" w:hAnsiTheme="minorEastAsia" w:eastAsiaTheme="minorEastAsia"/>
          <w:b/>
          <w:szCs w:val="21"/>
        </w:rPr>
        <w:t xml:space="preserve">.2废标条款</w:t>
      </w:r>
      <w:r>
        <w:rPr>
          <w:rFonts w:hint="eastAsia" w:cs="宋体" w:asciiTheme="minorEastAsia" w:hAnsiTheme="minorEastAsia" w:eastAsiaTheme="minorEastAsia"/>
          <w:b/>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在采购过程中，每个采购包出现下列情况之一的，应予废标：</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.2.1符合专业条件的供应商或者对招标文件作实质响应的供应商不足三家的。</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.2.2出现影响采购公正的违法、违规行为的。</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.2.3因重大变故，采购任务取消的。</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.2.4评标委员会认定招标文件存在歧义、重大缺陷导致评审工作无法进行。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.2.5因苏采云系统系统故障原因造成开标不成功的。</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rPr>
          <w:rFonts w:cs="宋体" w:asciiTheme="minorEastAsia" w:hAnsiTheme="minorEastAsia" w:eastAsiaTheme="minorEastAsia"/>
          <w:szCs w:val="21"/>
        </w:rPr>
        <w:t xml:space="preserve">.3投标截止时间结束后参加投标的供应商不足三家的处理：</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如出现投标截止时间结束后参加投标的供应商或者在评标期间对招标文件做出实质响应的供应商不足三家情况，按政府采购相关规定执行。</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七、质疑</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7.1供应商认为招标文件、采购过程或中标、中标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7.2本次招标文件要求供应商在法定质疑期内一次性提出针对同一采购程序环节的质疑。</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 供应商提出质疑应当提交质疑函和必要的证明材料，质疑函应当包括下列内容：</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.1供应商的姓名或者名称（以提供的营业执照副本复印件为准）、地址、邮编、联系人及联系电话；</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.2质疑项目的名称、编号、招标公告发布时间、开标时间；</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.3提起质疑的日期、具体的质疑事项</w:t>
      </w:r>
      <w:r>
        <w:rPr>
          <w:rFonts w:hint="eastAsia" w:cs="宋体" w:asciiTheme="minorEastAsia" w:hAnsiTheme="minorEastAsia" w:eastAsiaTheme="minorEastAsia"/>
          <w:szCs w:val="21"/>
        </w:rPr>
        <w:t xml:space="preserve">和</w:t>
      </w:r>
      <w:r>
        <w:rPr>
          <w:rFonts w:cs="宋体" w:asciiTheme="minorEastAsia" w:hAnsiTheme="minorEastAsia" w:eastAsiaTheme="minorEastAsia"/>
          <w:szCs w:val="21"/>
        </w:rPr>
        <w:t xml:space="preserve">与质疑事项相关的请求；</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7.3.4</w:t>
      </w:r>
      <w:r>
        <w:rPr>
          <w:rFonts w:cs="宋体" w:asciiTheme="minorEastAsia" w:hAnsiTheme="minorEastAsia" w:eastAsiaTheme="minorEastAsia"/>
          <w:szCs w:val="21"/>
        </w:rPr>
        <w:t xml:space="preserve">质疑事项的事实依据及必要的法律依据；</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w:t>
      </w:r>
      <w:r>
        <w:rPr>
          <w:rFonts w:hint="eastAsia" w:cs="宋体" w:asciiTheme="minorEastAsia" w:hAnsiTheme="minorEastAsia" w:eastAsiaTheme="minorEastAsia"/>
          <w:szCs w:val="21"/>
        </w:rPr>
        <w:t xml:space="preserve">3</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5按照“谁主张、谁举证”的原则，附上相关证明材料。否则，招标代理人或采购人不予受理</w:t>
      </w:r>
      <w:r>
        <w:rPr>
          <w:rFonts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供应商提交的质疑函必须按照《政府采购供应商质疑函范本》要求的格式和内容进行填写，质疑函范本下载网址详见链接：</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https://czju.suzhou.gov.cn/zfcg/html/content/20180305093615738.shtml</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7.4采购代理机构如对被质疑文件进行必要的澄清或者修改的，将在 “苏州市政府采购网”的“采购公告”自行查看项目的补充通知（包括更正公告）。补充通知（包括更正公告）将作为招标文件的组成部分，对所有投标人有约束力。</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7.5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7.7接收质疑函的方式：书面形式（当场送达或邮寄方式），采购人质疑接收人及联系方式见招标文件第一章。</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7.8以下情形的质疑不予受理：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7.8.1内容不符合《政府采购质疑和投诉办法》第十二条规定的质疑。</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7.8.2超出政府采购法定期限的质疑。</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7.8.3以传真、电子邮件等方式递交的非原件形式的质疑。</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7.8.4未参加投标活动的供应商或在投标活动中自身权益未受到损害的供应商所提出的质疑。</w:t>
      </w:r>
      <w:r/>
    </w:p>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7.8.5供应商组成联合体参加投标，联合体中任何一方或多方未按要求签字、盖章、加盖公章的质疑。</w:t>
      </w:r>
      <w:r/>
    </w:p>
    <w:p>
      <w:pPr>
        <w:ind w:firstLine="422"/>
        <w:spacing w:line="360" w:lineRule="auto"/>
        <w:rPr>
          <w:rFonts w:cs="宋体" w:asciiTheme="minorEastAsia" w:hAnsiTheme="minorEastAsia" w:eastAsiaTheme="minorEastAsia"/>
          <w:b/>
          <w:szCs w:val="21"/>
        </w:rPr>
      </w:pPr>
      <w:r/>
      <w:bookmarkStart w:id="18" w:name="_Toc116396226"/>
      <w:r/>
      <w:bookmarkStart w:id="19" w:name="_Toc116396547"/>
      <w:r>
        <w:rPr>
          <w:rFonts w:hint="eastAsia" w:cs="宋体" w:asciiTheme="minorEastAsia" w:hAnsiTheme="minorEastAsia" w:eastAsiaTheme="minorEastAsia"/>
          <w:b/>
          <w:szCs w:val="21"/>
        </w:rPr>
        <w:t xml:space="preserve">八、中标结果</w:t>
      </w:r>
      <w:bookmarkEnd w:id="18"/>
      <w:r/>
      <w:bookmarkEnd w:id="19"/>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1、中标单位的确认</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1.1评标委员会根据投标人资格审查、符合性审查情况，对投标文件进行评价和比较，按照招标文件的评分标准进行打分和汇总评分结果。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1.2评标委员会根据评审后得分由高到低顺序排列，向采购人推荐中标候选单位，或者受招标人委托按照事先确定的办法直接确定中标人。</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1.3采购代理机构在评标结束后两个工作日内将中标单位在政府采购信息媒体上发布中标公告，投标单位如有质疑，应于中标公告届满之日起七个工作日内按法规规定要求向采购代理机构提出。</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2、中标人标准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2.1确定为中标的投标人必须具有实施本合同的能力和资源。</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2.2在合同签订之前，采购人和招标代理人有权对中标单位的履约能力进行最后审查，审查方式包括询问、调查和实地考察，如发现中标单位提供的材料虚假或对招标书所要求说明的情况故意隐瞒或虚报，则有权取消其中标资格，按采购文件公布的预算价的2%处罚违约赔偿金，并在有效期内另行评定中标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3、中标通知书</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3.2中标通知书将成为合同的组成部分。对采购人和中标供应商具有同等法律效力。</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3.3中标通知书发出后，采购人不得违法改变中标结果，中标人无正当理由不得放弃中标。</w:t>
      </w:r>
      <w:r/>
    </w:p>
    <w:p>
      <w:pPr>
        <w:ind w:firstLine="422"/>
        <w:spacing w:line="360" w:lineRule="auto"/>
        <w:rPr>
          <w:rFonts w:cs="宋体" w:asciiTheme="minorEastAsia" w:hAnsiTheme="minorEastAsia" w:eastAsiaTheme="minorEastAsia"/>
          <w:b/>
          <w:szCs w:val="21"/>
        </w:rPr>
      </w:pPr>
      <w:r/>
      <w:bookmarkStart w:id="20" w:name="_Toc116396227"/>
      <w:r/>
      <w:bookmarkStart w:id="21" w:name="_Toc116396548"/>
      <w:r>
        <w:rPr>
          <w:rFonts w:hint="eastAsia" w:cs="宋体" w:asciiTheme="minorEastAsia" w:hAnsiTheme="minorEastAsia" w:eastAsiaTheme="minorEastAsia"/>
          <w:b/>
          <w:szCs w:val="21"/>
        </w:rPr>
        <w:t xml:space="preserve">八、合同的签订</w:t>
      </w:r>
      <w:bookmarkEnd w:id="20"/>
      <w:r/>
      <w:bookmarkEnd w:id="21"/>
      <w:r/>
      <w:r/>
    </w:p>
    <w:p>
      <w:pPr>
        <w:ind w:firstLine="420"/>
        <w:spacing w:line="360" w:lineRule="auto"/>
        <w:rPr>
          <w:rFonts w:cs="宋体" w:asciiTheme="minorEastAsia" w:hAnsiTheme="minorEastAsia" w:eastAsiaTheme="minorEastAsia"/>
          <w:szCs w:val="21"/>
        </w:rPr>
      </w:pPr>
      <w:r/>
      <w:bookmarkStart w:id="22" w:name="_Toc116396549"/>
      <w:r/>
      <w:bookmarkStart w:id="23" w:name="_Toc116396228"/>
      <w:r>
        <w:rPr>
          <w:rFonts w:hint="eastAsia" w:cs="宋体" w:asciiTheme="minorEastAsia" w:hAnsiTheme="minorEastAsia" w:eastAsiaTheme="minorEastAsia"/>
          <w:szCs w:val="21"/>
        </w:rPr>
        <w:t xml:space="preserve">1、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2、采购人与中标人所签订的合同不得对招标文件确定的事项和中标人投标文件作实质性修改，采购人不得向中标人提出任何不合理的要求作为签订合同的条件。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3、招标文件、中标人的投标文件及招标过程中有关澄清、承诺文件均应作为合同附件。</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5、政府采购合同履行中，采购人需追加与合同标的相同货物、工程或者服务的，在不改变合同其他条款的前提下，可以与中标人协商签订补充合同，但所有补充合同的采购金额不得超过原合同采购金额的1</w:t>
      </w:r>
      <w:r>
        <w:rPr>
          <w:rFonts w:cs="宋体" w:asciiTheme="minorEastAsia" w:hAnsiTheme="minorEastAsia" w:eastAsiaTheme="minorEastAsia"/>
          <w:szCs w:val="21"/>
        </w:rPr>
        <w:t xml:space="preserve">0%</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6、履约保证金（如有）</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中标的投标人应按根据本招标文件的有关条款规定（若未规定，无需缴纳）,在签订合同时缴纳履约保证金。</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bookmarkEnd w:id="22"/>
      <w:r/>
      <w:bookmarkEnd w:id="23"/>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提供声明函内容不实的，属于提供虚假材料谋取中标、成交，依照《中华人民共和国政府采购法》等国家有关规定追究相应责任。</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spacing w:line="360" w:lineRule="auto"/>
        <w:rPr>
          <w:rFonts w:cs="宋体" w:asciiTheme="minorEastAsia" w:hAnsiTheme="minorEastAsia" w:eastAsiaTheme="minorEastAsia"/>
          <w:b/>
          <w:szCs w:val="21"/>
        </w:rPr>
      </w:pPr>
      <w:r/>
      <w:bookmarkStart w:id="24" w:name="_Toc116396550"/>
      <w:r/>
      <w:bookmarkStart w:id="25" w:name="_Toc116396229"/>
      <w:r>
        <w:rPr>
          <w:rFonts w:hint="eastAsia" w:cs="宋体" w:asciiTheme="minorEastAsia" w:hAnsiTheme="minorEastAsia" w:eastAsiaTheme="minorEastAsia"/>
          <w:b/>
          <w:szCs w:val="21"/>
        </w:rPr>
        <w:t xml:space="preserve">十、其他事项</w:t>
      </w:r>
      <w:bookmarkEnd w:id="24"/>
      <w:r/>
      <w:bookmarkEnd w:id="25"/>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1、中标服务费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1.1中标单位须按规定支付中标服务费，以预算金额为基数按差额定率累进法计算收费: 按预算金额100万元以下，收取1.5%；100-500万元，收取1.1%；500-1000万元，收取0.8%；1000-5000万元，收取0.5%；5000-10000万元，收取0.25%；10000-100000万元，收取0.05%，不足3000元按3000元整收取。</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1.2该费用由中标单位基本账户转至我司中标服务费基本账户。（企业名称：江苏鑫鲲煜工程项目管理咨询有限公司  账号：1102231709000119010  开户行：中国工商银行股份有限公司昆山花望路支行）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1.3中标单位如果未按规定缴纳中标服务费，我单位保留诉讼的权利。</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1.4中标单位须按规定支付中标服务费，该费用应在领取中标通知书时付清。</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2.1政府有关监督部门将对招投标全过程进行监督。</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 w:val="24"/>
        </w:rPr>
      </w:pPr>
      <w:r>
        <w:rPr>
          <w:rFonts w:hint="eastAsia" w:cs="宋体" w:asciiTheme="minorEastAsia" w:hAnsiTheme="minorEastAsia" w:eastAsiaTheme="minorEastAsia"/>
          <w:szCs w:val="21"/>
        </w:rPr>
        <w:t xml:space="preserve">3.2中标后中标单位需提供投标文件2套，用于项目归档使用。 </w:t>
      </w:r>
      <w:r/>
    </w:p>
    <w:p>
      <w:pPr>
        <w:pStyle w:val="700"/>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00"/>
        <w:jc w:val="center"/>
        <w:rPr>
          <w:rFonts w:asciiTheme="majorEastAsia" w:hAnsiTheme="majorEastAsia" w:eastAsiaTheme="majorEastAsia" w:cstheme="majorEastAsia"/>
          <w:sz w:val="32"/>
          <w:szCs w:val="32"/>
        </w:rPr>
      </w:pPr>
      <w:r/>
      <w:bookmarkStart w:id="26" w:name="_Toc116396551"/>
      <w:r>
        <w:rPr>
          <w:rFonts w:hint="eastAsia" w:asciiTheme="majorEastAsia" w:hAnsiTheme="majorEastAsia" w:eastAsiaTheme="majorEastAsia" w:cstheme="majorEastAsia"/>
          <w:sz w:val="32"/>
          <w:szCs w:val="32"/>
        </w:rPr>
        <w:t xml:space="preserve">第三章  投标文件格式</w:t>
      </w:r>
      <w:bookmarkStart w:id="27" w:name="gpcItem_SubmitDocStruct"/>
      <w:r/>
      <w:bookmarkEnd w:id="26"/>
      <w:r/>
      <w:bookmarkEnd w:id="27"/>
      <w:r/>
      <w:r/>
    </w:p>
    <w:p>
      <w:pPr>
        <w:pStyle w:val="716"/>
        <w:ind w:firstLine="417"/>
        <w:spacing w:line="360" w:lineRule="auto"/>
        <w:rPr>
          <w:rFonts w:ascii="宋体" w:hAnsi="宋体"/>
          <w:b/>
          <w:sz w:val="21"/>
          <w:szCs w:val="21"/>
        </w:rPr>
      </w:pPr>
      <w:r>
        <w:rPr>
          <w:rFonts w:ascii="宋体" w:hAnsi="宋体"/>
          <w:b/>
          <w:sz w:val="21"/>
          <w:szCs w:val="21"/>
        </w:rPr>
      </w:r>
      <w:r/>
    </w:p>
    <w:p>
      <w:pPr>
        <w:pStyle w:val="716"/>
        <w:ind w:firstLine="417"/>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说明：对本章所有的投标书格式 ，投标方可根据自身情况进行补充和修改，但补充和修改不得造成与本格式内容有实质性的违背。</w:t>
      </w:r>
      <w:r/>
    </w:p>
    <w:p>
      <w:pPr>
        <w:pStyle w:val="716"/>
        <w:ind w:firstLine="416"/>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716"/>
        <w:ind w:firstLine="416"/>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716"/>
              <w:ind w:firstLine="0"/>
              <w:jc w:val="center"/>
              <w:spacing w:line="360" w:lineRule="auto"/>
              <w:rPr>
                <w:rFonts w:cs="宋体" w:asciiTheme="minorEastAsia" w:hAnsiTheme="minorEastAsia" w:eastAsiaTheme="minorEastAsia"/>
                <w:sz w:val="21"/>
                <w:szCs w:val="21"/>
              </w:rPr>
            </w:pPr>
            <w:r/>
            <w:bookmarkStart w:id="28"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716"/>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716"/>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1、资格条件承诺</w:t>
            </w:r>
            <w:r>
              <w:rPr>
                <w:rFonts w:cs="宋体" w:asciiTheme="minorEastAsia" w:hAnsiTheme="minorEastAsia" w:eastAsiaTheme="minorEastAsia"/>
                <w:sz w:val="21"/>
                <w:szCs w:val="21"/>
              </w:rPr>
              <w:t xml:space="preserve">函</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fldChar w:fldCharType="begin"/>
            </w:r>
            <w:r>
              <w:rPr>
                <w:rFonts w:hint="eastAsia" w:cs="宋体" w:asciiTheme="minorEastAsia" w:hAnsiTheme="minorEastAsia" w:eastAsiaTheme="minorEastAsia"/>
                <w:sz w:val="21"/>
                <w:szCs w:val="21"/>
              </w:rPr>
              <w:instrText xml:space="preserve"> REF _Ref24307 \h </w:instrText>
            </w:r>
            <w:r>
              <w:rPr>
                <w:rFonts w:cs="宋体" w:asciiTheme="minorEastAsia" w:hAnsiTheme="minorEastAsia" w:eastAsiaTheme="minorEastAsia"/>
                <w:sz w:val="21"/>
                <w:szCs w:val="21"/>
              </w:rPr>
              <w:instrText xml:space="preserve"> \* MERGEFORMAT </w:instrText>
            </w:r>
            <w:r>
              <w:rPr>
                <w:rFonts w:hint="eastAsia"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1、资格条件承诺函</w:t>
            </w:r>
            <w:r>
              <w:rPr>
                <w:rFonts w:hint="eastAsia" w:cs="宋体" w:asciiTheme="minorEastAsia" w:hAnsiTheme="minorEastAsia" w:eastAsiaTheme="minorEastAsia"/>
                <w:sz w:val="21"/>
                <w:szCs w:val="21"/>
              </w:rPr>
              <w:fldChar w:fldCharType="end"/>
            </w:r>
            <w:r>
              <w:rPr>
                <w:rFonts w:hint="eastAsia" w:cs="宋体" w:asciiTheme="minorEastAsia" w:hAnsiTheme="minorEastAsia" w:eastAsiaTheme="minorEastAsia"/>
                <w:sz w:val="21"/>
                <w:szCs w:val="21"/>
              </w:rPr>
              <w:t xml:space="preserve"> </w:t>
            </w:r>
            <w:r/>
          </w:p>
        </w:tc>
      </w:tr>
      <w:tr>
        <w:trPr/>
        <w:tc>
          <w:tcPr>
            <w:tcW w:w="1475" w:type="dxa"/>
            <w:vAlign w:val="center"/>
            <w:vMerge w:val="continue"/>
            <w:textDirection w:val="lrTb"/>
            <w:noWrap w:val="false"/>
          </w:tcPr>
          <w:p>
            <w:pPr>
              <w:pStyle w:val="716"/>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2、法定代表人授权委托书</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3、投标承诺函</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_Ref77065825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4、开标一览表</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_Ref343881459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5、公开分项报价表</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_Ref159162392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5、公开分项报价表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6、人员配置情况表</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_Ref24653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7、拟投入设施设备一览表</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_Ref181085714 \h  \* MERGEFORMAT </w:instrText>
            </w:r>
            <w:r>
              <w:rPr>
                <w:rFonts w:cs="宋体" w:asciiTheme="minorEastAsia" w:hAnsiTheme="minorEastAsia" w:eastAsiaTheme="minorEastAsia"/>
                <w:sz w:val="21"/>
                <w:szCs w:val="21"/>
              </w:rPr>
              <w:fldChar w:fldCharType="separate"/>
            </w: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拟投入设施设备一览表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8、类似业绩一览表</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fldChar w:fldCharType="begin"/>
            </w:r>
            <w:r>
              <w:rPr>
                <w:rFonts w:hint="eastAsia" w:cs="宋体" w:asciiTheme="minorEastAsia" w:hAnsiTheme="minorEastAsia" w:eastAsiaTheme="minorEastAsia"/>
                <w:sz w:val="21"/>
                <w:szCs w:val="21"/>
              </w:rPr>
              <w:instrText xml:space="preserve"> REF _Ref382393081 \h  \* MERGEFORMAT </w:instrText>
            </w:r>
            <w:r>
              <w:rPr>
                <w:rFonts w:hint="eastAsia"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8、类似业绩一览表</w:t>
            </w:r>
            <w:r>
              <w:rPr>
                <w:rFonts w:hint="eastAsia"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_Ref29636 \h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10、中小企业声明函</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11、残疾人福利性单位声明函</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12、</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_Ref163810165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资格证明文件</w:t>
            </w:r>
            <w:r/>
          </w:p>
        </w:tc>
        <w:tc>
          <w:tcPr>
            <w:tcW w:w="3715" w:type="dxa"/>
            <w:vAlign w:val="center"/>
            <w:textDirection w:val="lrTb"/>
            <w:noWrap w:val="false"/>
          </w:tcPr>
          <w:p>
            <w:pPr>
              <w:pStyle w:val="716"/>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_Ref163810169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13、资格证明文件</w:t>
            </w:r>
            <w:r>
              <w:rPr>
                <w:rFonts w:cs="宋体" w:asciiTheme="minorEastAsia" w:hAnsiTheme="minorEastAsia" w:eastAsiaTheme="minorEastAsia"/>
                <w:sz w:val="21"/>
                <w:szCs w:val="21"/>
              </w:rPr>
              <w:fldChar w:fldCharType="end"/>
            </w:r>
            <w:bookmarkEnd w:id="28"/>
            <w:r/>
            <w:r/>
          </w:p>
        </w:tc>
      </w:tr>
    </w:tbl>
    <w:p>
      <w:pPr>
        <w:rPr>
          <w:rFonts w:asciiTheme="minorEastAsia" w:hAnsiTheme="minorEastAsia" w:eastAsiaTheme="minorEastAsia"/>
          <w:szCs w:val="21"/>
        </w:rPr>
      </w:pPr>
      <w:r>
        <w:rPr>
          <w:rFonts w:asciiTheme="minorEastAsia" w:hAnsiTheme="minorEastAsia" w:eastAsiaTheme="minorEastAsia"/>
          <w:szCs w:val="21"/>
        </w:rPr>
      </w:r>
      <w:r/>
    </w:p>
    <w:p>
      <w:r/>
      <w:r/>
    </w:p>
    <w:p>
      <w:r/>
      <w:r/>
    </w:p>
    <w:p>
      <w:r/>
      <w:r/>
    </w:p>
    <w:p>
      <w:r/>
      <w:r/>
    </w:p>
    <w:p>
      <w:r/>
      <w:r/>
    </w:p>
    <w:p>
      <w:r/>
      <w:r/>
    </w:p>
    <w:p>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r/>
      <w:r/>
    </w:p>
    <w:p>
      <w:pPr>
        <w:pStyle w:val="701"/>
        <w:rPr>
          <w:rFonts w:ascii="宋体"/>
          <w:bCs w:val="0"/>
          <w:sz w:val="28"/>
          <w:szCs w:val="28"/>
        </w:rPr>
      </w:pPr>
      <w:r/>
      <w:bookmarkStart w:id="29" w:name="_Ref24307"/>
      <w:r/>
      <w:bookmarkStart w:id="30" w:name="_Toc116396552"/>
      <w:r/>
      <w:bookmarkStart w:id="31" w:name="_Toc116396231"/>
      <w:r>
        <w:rPr>
          <w:rFonts w:hint="eastAsia" w:ascii="宋体"/>
          <w:bCs w:val="0"/>
          <w:sz w:val="28"/>
          <w:szCs w:val="28"/>
        </w:rPr>
        <w:t xml:space="preserve">1、资格条件承诺函</w:t>
      </w:r>
      <w:bookmarkEnd w:id="29"/>
      <w:r/>
      <w:bookmarkEnd w:id="30"/>
      <w:r/>
      <w:bookmarkEnd w:id="31"/>
      <w:r/>
      <w:r/>
    </w:p>
    <w:p>
      <w:pPr>
        <w:pStyle w:val="716"/>
        <w:jc w:val="center"/>
        <w:spacing w:line="360" w:lineRule="auto"/>
        <w:rPr>
          <w:rFonts w:ascii="宋体"/>
          <w:sz w:val="21"/>
          <w:szCs w:val="21"/>
          <w:lang w:val="zh-CN"/>
        </w:rPr>
      </w:pPr>
      <w:r>
        <w:rPr>
          <w:rFonts w:hint="eastAsia" w:ascii="宋体"/>
          <w:sz w:val="21"/>
          <w:szCs w:val="21"/>
        </w:rPr>
        <w:t xml:space="preserve">资格条件</w:t>
      </w:r>
      <w:r>
        <w:rPr>
          <w:rFonts w:hint="eastAsia" w:ascii="宋体"/>
          <w:sz w:val="21"/>
          <w:szCs w:val="21"/>
          <w:lang w:val="zh-CN"/>
        </w:rPr>
        <w:t xml:space="preserve">承诺函</w:t>
      </w:r>
      <w:r/>
    </w:p>
    <w:p>
      <w:pPr>
        <w:pStyle w:val="716"/>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江苏鑫鲲煜工程项目管理咨询有限公司 </w:t>
      </w:r>
      <w:r>
        <w:rPr>
          <w:rFonts w:hint="eastAsia" w:ascii="宋体"/>
          <w:sz w:val="21"/>
          <w:szCs w:val="21"/>
          <w:lang w:val="zh-CN"/>
        </w:rPr>
        <w:t xml:space="preserve">：</w:t>
      </w:r>
      <w:r/>
    </w:p>
    <w:p>
      <w:pPr>
        <w:pStyle w:val="716"/>
        <w:jc w:val="both"/>
        <w:spacing w:line="360" w:lineRule="auto"/>
        <w:rPr>
          <w:rFonts w:ascii="宋体"/>
          <w:sz w:val="21"/>
          <w:szCs w:val="21"/>
          <w:lang w:val="zh-CN"/>
        </w:rPr>
      </w:pPr>
      <w:r/>
      <w:bookmarkStart w:id="32" w:name="_Ref77065776"/>
      <w:r/>
      <w:bookmarkStart w:id="33" w:name="_Ref24336"/>
      <w:r>
        <w:rPr>
          <w:rFonts w:hint="eastAsia" w:ascii="宋体"/>
          <w:sz w:val="21"/>
          <w:szCs w:val="21"/>
          <w:lang w:val="zh-CN"/>
        </w:rPr>
        <w:t xml:space="preserve">我方自愿参加________（项目名称、项目编号）</w:t>
      </w:r>
      <w:r>
        <w:rPr>
          <w:rFonts w:hint="eastAsia" w:ascii="宋体"/>
          <w:sz w:val="21"/>
          <w:szCs w:val="21"/>
        </w:rPr>
        <w:t xml:space="preserve">对应采购包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bookmarkStart w:id="34" w:name="_Ref103254055"/>
      <w:r/>
      <w:r/>
    </w:p>
    <w:p>
      <w:pPr>
        <w:pStyle w:val="716"/>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716"/>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716"/>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716"/>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716"/>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716"/>
        <w:jc w:val="both"/>
        <w:spacing w:line="360" w:lineRule="auto"/>
        <w:rPr>
          <w:rFonts w:ascii="宋体"/>
          <w:sz w:val="21"/>
          <w:szCs w:val="21"/>
          <w:lang w:val="zh-CN"/>
        </w:rPr>
      </w:pPr>
      <w:r>
        <w:rPr>
          <w:rFonts w:hint="eastAsia" w:ascii="宋体"/>
          <w:sz w:val="21"/>
          <w:szCs w:val="21"/>
        </w:rPr>
        <w:t xml:space="preserve">6、法律、行政法规规定的其他条件</w:t>
      </w:r>
      <w:r/>
    </w:p>
    <w:p>
      <w:pPr>
        <w:pStyle w:val="716"/>
        <w:jc w:val="both"/>
        <w:spacing w:line="360" w:lineRule="auto"/>
        <w:rPr>
          <w:rFonts w:ascii="宋体"/>
          <w:sz w:val="21"/>
          <w:szCs w:val="21"/>
          <w:lang w:val="zh-CN"/>
        </w:rPr>
      </w:pPr>
      <w:r>
        <w:rPr>
          <w:rFonts w:ascii="宋体"/>
          <w:sz w:val="21"/>
          <w:szCs w:val="21"/>
          <w:lang w:val="zh-CN"/>
        </w:rPr>
      </w:r>
      <w:r/>
    </w:p>
    <w:p>
      <w:pPr>
        <w:pStyle w:val="716"/>
        <w:jc w:val="both"/>
        <w:spacing w:line="360" w:lineRule="auto"/>
        <w:rPr>
          <w:rFonts w:ascii="宋体"/>
          <w:sz w:val="21"/>
          <w:szCs w:val="21"/>
          <w:lang w:val="zh-CN"/>
        </w:rPr>
      </w:pPr>
      <w:r>
        <w:rPr>
          <w:rFonts w:ascii="宋体"/>
          <w:sz w:val="21"/>
          <w:szCs w:val="21"/>
          <w:lang w:val="zh-CN"/>
        </w:rPr>
      </w:r>
      <w:r/>
    </w:p>
    <w:p>
      <w:pPr>
        <w:pStyle w:val="716"/>
        <w:ind w:left="5880"/>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716"/>
        <w:jc w:val="both"/>
        <w:spacing w:line="360" w:lineRule="auto"/>
        <w:rPr>
          <w:rFonts w:ascii="宋体"/>
          <w:sz w:val="21"/>
          <w:szCs w:val="21"/>
          <w:lang w:val="zh-CN"/>
        </w:rPr>
      </w:pPr>
      <w:r>
        <w:rPr>
          <w:rFonts w:ascii="宋体"/>
          <w:sz w:val="21"/>
          <w:szCs w:val="21"/>
          <w:lang w:val="zh-CN"/>
        </w:rPr>
      </w:r>
      <w:r/>
    </w:p>
    <w:p>
      <w:pPr>
        <w:pStyle w:val="716"/>
        <w:ind w:left="5880"/>
        <w:jc w:val="both"/>
        <w:spacing w:line="360" w:lineRule="auto"/>
        <w:rPr>
          <w:rFonts w:ascii="宋体"/>
          <w:sz w:val="21"/>
          <w:szCs w:val="21"/>
          <w:lang w:val="zh-CN"/>
        </w:rPr>
      </w:pPr>
      <w:r>
        <w:rPr>
          <w:rFonts w:hint="eastAsia" w:ascii="宋体"/>
          <w:sz w:val="21"/>
          <w:szCs w:val="21"/>
          <w:lang w:val="zh-CN"/>
        </w:rPr>
        <w:t xml:space="preserve">日期：    年    月    日</w:t>
      </w:r>
      <w:r/>
    </w:p>
    <w:p>
      <w:pPr>
        <w:pStyle w:val="712"/>
        <w:ind w:firstLine="420"/>
        <w:rPr>
          <w:rFonts w:hint="default"/>
          <w:lang w:val="zh-CN"/>
        </w:rPr>
      </w:pPr>
      <w:r>
        <w:rPr>
          <w:rFonts w:hint="default"/>
          <w:lang w:val="zh-CN"/>
        </w:rPr>
      </w:r>
      <w:r/>
    </w:p>
    <w:p>
      <w:pPr>
        <w:rPr>
          <w:lang w:val="zh-CN"/>
        </w:rPr>
      </w:pPr>
      <w:r>
        <w:rPr>
          <w:lang w:val="zh-CN"/>
        </w:rPr>
      </w:r>
      <w:r/>
    </w:p>
    <w:p>
      <w:pPr>
        <w:pStyle w:val="712"/>
        <w:ind w:firstLine="420"/>
        <w:rPr>
          <w:rFonts w:hint="default"/>
          <w:lang w:val="zh-CN"/>
        </w:rPr>
      </w:pPr>
      <w:r>
        <w:rPr>
          <w:rFonts w:hint="default"/>
          <w:lang w:val="zh-CN"/>
        </w:rPr>
      </w:r>
      <w:r/>
    </w:p>
    <w:p>
      <w:pPr>
        <w:rPr>
          <w:lang w:val="zh-CN"/>
        </w:rPr>
      </w:pPr>
      <w:r>
        <w:rPr>
          <w:lang w:val="zh-CN"/>
        </w:rPr>
      </w:r>
      <w:r/>
    </w:p>
    <w:p>
      <w:pPr>
        <w:pStyle w:val="712"/>
        <w:ind w:firstLine="420"/>
        <w:rPr>
          <w:rFonts w:hint="default"/>
          <w:lang w:val="zh-CN"/>
        </w:rPr>
      </w:pPr>
      <w:r>
        <w:rPr>
          <w:rFonts w:hint="default"/>
          <w:lang w:val="zh-CN"/>
        </w:rPr>
      </w:r>
      <w:r/>
    </w:p>
    <w:p>
      <w:pPr>
        <w:pStyle w:val="712"/>
        <w:ind w:firstLine="420"/>
        <w:rPr>
          <w:rFonts w:hint="default"/>
          <w:lang w:val="zh-CN"/>
        </w:rPr>
      </w:pPr>
      <w:r>
        <w:rPr>
          <w:rFonts w:hint="default"/>
          <w:lang w:val="zh-CN"/>
        </w:rPr>
      </w:r>
      <w:r/>
    </w:p>
    <w:p>
      <w:pPr>
        <w:pStyle w:val="712"/>
        <w:ind w:firstLine="420"/>
        <w:rPr>
          <w:rFonts w:hint="default"/>
          <w:lang w:val="zh-CN"/>
        </w:rPr>
      </w:pPr>
      <w:r>
        <w:rPr>
          <w:rFonts w:hint="default"/>
          <w:lang w:val="zh-CN"/>
        </w:rPr>
      </w:r>
      <w:r/>
    </w:p>
    <w:p>
      <w:pPr>
        <w:pStyle w:val="712"/>
        <w:ind w:firstLine="420"/>
        <w:rPr>
          <w:rFonts w:hint="default"/>
          <w:lang w:val="zh-CN"/>
        </w:rPr>
      </w:pPr>
      <w:r>
        <w:rPr>
          <w:rFonts w:hint="default"/>
          <w:lang w:val="zh-CN"/>
        </w:rPr>
      </w:r>
      <w:r/>
    </w:p>
    <w:p>
      <w:pPr>
        <w:rPr>
          <w:lang w:val="zh-CN"/>
        </w:rPr>
      </w:pPr>
      <w:r>
        <w:rPr>
          <w:lang w:val="zh-CN"/>
        </w:rPr>
      </w:r>
      <w:r/>
    </w:p>
    <w:p>
      <w:pPr>
        <w:pStyle w:val="712"/>
        <w:rPr>
          <w:rFonts w:hint="default"/>
          <w:lang w:val="zh-CN"/>
        </w:rPr>
      </w:pPr>
      <w:r>
        <w:rPr>
          <w:rFonts w:hint="default"/>
          <w:lang w:val="zh-CN"/>
        </w:rPr>
      </w:r>
      <w:r/>
    </w:p>
    <w:p>
      <w:pPr>
        <w:rPr>
          <w:lang w:val="zh-CN"/>
        </w:rPr>
      </w:pPr>
      <w:r>
        <w:rPr>
          <w:lang w:val="zh-CN"/>
        </w:rPr>
      </w:r>
      <w:r/>
    </w:p>
    <w:p>
      <w:pPr>
        <w:pStyle w:val="712"/>
        <w:rPr>
          <w:rFonts w:hint="default"/>
          <w:lang w:val="zh-CN"/>
        </w:rPr>
      </w:pPr>
      <w:r>
        <w:rPr>
          <w:rFonts w:hint="default"/>
          <w:lang w:val="zh-CN"/>
        </w:rPr>
      </w:r>
      <w:r/>
    </w:p>
    <w:p>
      <w:pPr>
        <w:rPr>
          <w:lang w:val="zh-CN"/>
        </w:rPr>
      </w:pPr>
      <w:r>
        <w:rPr>
          <w:lang w:val="zh-CN"/>
        </w:rPr>
      </w:r>
      <w:r/>
    </w:p>
    <w:p>
      <w:pPr>
        <w:pStyle w:val="712"/>
        <w:rPr>
          <w:rFonts w:hint="default"/>
          <w:lang w:val="zh-CN"/>
        </w:rPr>
      </w:pPr>
      <w:r>
        <w:rPr>
          <w:rFonts w:hint="default"/>
          <w:lang w:val="zh-CN"/>
        </w:rPr>
      </w:r>
      <w:r/>
    </w:p>
    <w:p>
      <w:pPr>
        <w:rPr>
          <w:lang w:val="zh-CN"/>
        </w:rPr>
      </w:pPr>
      <w:r>
        <w:rPr>
          <w:lang w:val="zh-CN"/>
        </w:rPr>
      </w:r>
      <w:r/>
    </w:p>
    <w:p>
      <w:pPr>
        <w:pStyle w:val="712"/>
        <w:rPr>
          <w:rFonts w:hint="default"/>
          <w:lang w:val="zh-CN"/>
        </w:rPr>
      </w:pPr>
      <w:r>
        <w:rPr>
          <w:rFonts w:hint="default"/>
          <w:lang w:val="zh-CN"/>
        </w:rPr>
      </w:r>
      <w:r/>
    </w:p>
    <w:p>
      <w:pPr>
        <w:rPr>
          <w:lang w:val="zh-CN"/>
        </w:rPr>
      </w:pPr>
      <w:r>
        <w:rPr>
          <w:lang w:val="zh-CN"/>
        </w:rPr>
      </w:r>
      <w:r/>
    </w:p>
    <w:p>
      <w:pPr>
        <w:pStyle w:val="712"/>
        <w:rPr>
          <w:rFonts w:hint="default"/>
          <w:lang w:val="zh-CN"/>
        </w:rPr>
      </w:pPr>
      <w:r>
        <w:rPr>
          <w:rFonts w:hint="default"/>
          <w:lang w:val="zh-CN"/>
        </w:rPr>
      </w:r>
      <w:r/>
    </w:p>
    <w:p>
      <w:pPr>
        <w:rPr>
          <w:lang w:val="zh-CN"/>
        </w:rPr>
      </w:pPr>
      <w:r>
        <w:rPr>
          <w:lang w:val="zh-CN"/>
        </w:rPr>
      </w:r>
      <w:r/>
    </w:p>
    <w:p>
      <w:pPr>
        <w:pStyle w:val="712"/>
        <w:rPr>
          <w:rFonts w:hint="default"/>
          <w:lang w:val="zh-CN"/>
        </w:rPr>
      </w:pPr>
      <w:r>
        <w:rPr>
          <w:rFonts w:hint="default"/>
          <w:lang w:val="zh-CN"/>
        </w:rPr>
      </w:r>
      <w:r/>
    </w:p>
    <w:p>
      <w:pPr>
        <w:rPr>
          <w:lang w:val="zh-CN"/>
        </w:rPr>
      </w:pPr>
      <w:r>
        <w:rPr>
          <w:lang w:val="zh-CN"/>
        </w:rPr>
      </w:r>
      <w:r/>
    </w:p>
    <w:p>
      <w:pPr>
        <w:pStyle w:val="712"/>
        <w:rPr>
          <w:rFonts w:hint="default"/>
          <w:lang w:val="zh-CN"/>
        </w:rPr>
      </w:pPr>
      <w:r>
        <w:rPr>
          <w:rFonts w:hint="default"/>
          <w:lang w:val="zh-CN"/>
        </w:rPr>
      </w:r>
      <w:r/>
    </w:p>
    <w:p>
      <w:pPr>
        <w:rPr>
          <w:lang w:val="zh-CN"/>
        </w:rPr>
      </w:pPr>
      <w:r>
        <w:rPr>
          <w:lang w:val="zh-CN"/>
        </w:rPr>
      </w:r>
      <w:r/>
    </w:p>
    <w:p>
      <w:pPr>
        <w:pStyle w:val="712"/>
        <w:ind w:firstLine="420"/>
        <w:rPr>
          <w:rFonts w:hint="default"/>
          <w:lang w:val="zh-CN"/>
        </w:rPr>
      </w:pPr>
      <w:r>
        <w:rPr>
          <w:rFonts w:hint="default"/>
          <w:lang w:val="zh-CN"/>
        </w:rPr>
      </w:r>
      <w:r/>
    </w:p>
    <w:p>
      <w:pPr>
        <w:pStyle w:val="701"/>
        <w:rPr>
          <w:rFonts w:ascii="宋体"/>
          <w:bCs w:val="0"/>
          <w:sz w:val="28"/>
          <w:szCs w:val="28"/>
        </w:rPr>
      </w:pPr>
      <w:r/>
      <w:bookmarkStart w:id="35" w:name="_Ref108767978"/>
      <w:r/>
      <w:bookmarkStart w:id="36" w:name="_Toc116396553"/>
      <w:r/>
      <w:bookmarkStart w:id="37" w:name="_Toc116396232"/>
      <w:r>
        <w:rPr>
          <w:rFonts w:hint="eastAsia" w:ascii="宋体"/>
          <w:bCs w:val="0"/>
          <w:sz w:val="28"/>
          <w:szCs w:val="28"/>
        </w:rPr>
        <w:t xml:space="preserve">2、</w:t>
      </w:r>
      <w:bookmarkStart w:id="38" w:name="_Ref24382"/>
      <w:r/>
      <w:bookmarkStart w:id="39" w:name="_Ref501489515"/>
      <w:r/>
      <w:bookmarkStart w:id="40" w:name="_Toc62460934"/>
      <w:r>
        <w:rPr>
          <w:rFonts w:hint="eastAsia" w:ascii="宋体"/>
          <w:bCs w:val="0"/>
          <w:sz w:val="28"/>
          <w:szCs w:val="28"/>
        </w:rPr>
        <w:t xml:space="preserve">法定代表人授权委托书</w:t>
      </w:r>
      <w:bookmarkEnd w:id="32"/>
      <w:r/>
      <w:bookmarkEnd w:id="33"/>
      <w:r/>
      <w:bookmarkEnd w:id="34"/>
      <w:r/>
      <w:bookmarkEnd w:id="35"/>
      <w:r/>
      <w:bookmarkEnd w:id="36"/>
      <w:r/>
      <w:bookmarkEnd w:id="37"/>
      <w:r/>
      <w:bookmarkEnd w:id="38"/>
      <w:r/>
      <w:bookmarkEnd w:id="39"/>
      <w:r/>
      <w:bookmarkEnd w:id="40"/>
      <w:r/>
      <w:r/>
    </w:p>
    <w:p>
      <w:pPr>
        <w:pStyle w:val="716"/>
        <w:ind w:firstLine="480"/>
        <w:jc w:val="center"/>
        <w:spacing w:line="360" w:lineRule="auto"/>
        <w:rPr>
          <w:rFonts w:ascii="宋体"/>
        </w:rPr>
      </w:pPr>
      <w:r>
        <w:rPr>
          <w:rFonts w:hint="eastAsia" w:ascii="宋体"/>
        </w:rPr>
        <w:t xml:space="preserve">法定代表人授权委托书</w:t>
      </w:r>
      <w:r/>
    </w:p>
    <w:p>
      <w:pPr>
        <w:pStyle w:val="716"/>
        <w:jc w:val="both"/>
        <w:spacing w:line="360" w:lineRule="auto"/>
        <w:rPr>
          <w:rFonts w:ascii="宋体"/>
          <w:sz w:val="21"/>
          <w:szCs w:val="21"/>
        </w:rPr>
      </w:pPr>
      <w:r>
        <w:rPr>
          <w:rFonts w:ascii="宋体"/>
          <w:sz w:val="21"/>
          <w:szCs w:val="21"/>
        </w:rPr>
      </w:r>
      <w:r/>
    </w:p>
    <w:p>
      <w:pPr>
        <w:pStyle w:val="716"/>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江苏鑫鲲煜工程项目管理咨询有限公司</w:t>
      </w:r>
      <w:r>
        <w:rPr>
          <w:rFonts w:hint="eastAsia" w:ascii="宋体"/>
          <w:sz w:val="21"/>
          <w:szCs w:val="21"/>
        </w:rPr>
        <w:t xml:space="preserve">：</w:t>
      </w:r>
      <w:r/>
    </w:p>
    <w:p>
      <w:pPr>
        <w:pStyle w:val="716"/>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（被授权人身份证号）为我公司被授权人，以本公司的名义参加江苏鑫鲲煜工程项目管理咨询有限公司组织实施的编号为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716"/>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716"/>
        <w:jc w:val="both"/>
        <w:spacing w:line="360" w:lineRule="auto"/>
        <w:rPr>
          <w:rFonts w:ascii="宋体"/>
          <w:sz w:val="21"/>
          <w:szCs w:val="21"/>
        </w:rPr>
      </w:pPr>
      <w:r>
        <w:rPr>
          <w:rFonts w:hint="eastAsia" w:ascii="宋体"/>
          <w:sz w:val="21"/>
          <w:szCs w:val="21"/>
        </w:rPr>
        <w:t xml:space="preserve">被授权人无转委托权，特此委托。</w:t>
      </w:r>
      <w:r/>
    </w:p>
    <w:p>
      <w:pPr>
        <w:pStyle w:val="716"/>
        <w:jc w:val="both"/>
        <w:spacing w:line="360" w:lineRule="auto"/>
        <w:rPr>
          <w:rFonts w:ascii="宋体"/>
          <w:sz w:val="21"/>
          <w:szCs w:val="21"/>
        </w:rPr>
      </w:pPr>
      <w:r>
        <w:rPr>
          <w:rFonts w:ascii="宋体"/>
          <w:sz w:val="21"/>
          <w:szCs w:val="21"/>
        </w:rPr>
      </w:r>
      <w:r/>
    </w:p>
    <w:p>
      <w:pPr>
        <w:pStyle w:val="716"/>
        <w:jc w:val="both"/>
        <w:spacing w:line="360" w:lineRule="auto"/>
        <w:rPr>
          <w:rFonts w:ascii="宋体"/>
          <w:sz w:val="21"/>
          <w:szCs w:val="21"/>
        </w:rPr>
      </w:pPr>
      <w:r>
        <w:rPr>
          <w:rFonts w:hint="eastAsia" w:ascii="宋体"/>
          <w:b/>
          <w:bCs/>
          <w:sz w:val="21"/>
          <w:szCs w:val="21"/>
        </w:rPr>
        <w:t xml:space="preserve">（如投标供应商为个体经营户等，无法定代表人，应视情况自行修改，但不得改变授权书的意思表示）</w:t>
      </w:r>
      <w:r/>
    </w:p>
    <w:p>
      <w:pPr>
        <w:pStyle w:val="716"/>
        <w:jc w:val="both"/>
        <w:spacing w:line="360" w:lineRule="auto"/>
        <w:rPr>
          <w:rFonts w:ascii="宋体"/>
          <w:sz w:val="21"/>
          <w:szCs w:val="21"/>
        </w:rPr>
      </w:pPr>
      <w:r>
        <w:rPr>
          <w:rFonts w:ascii="宋体"/>
          <w:sz w:val="21"/>
          <w:szCs w:val="21"/>
        </w:rPr>
      </w:r>
      <w:r/>
    </w:p>
    <w:p>
      <w:pPr>
        <w:pStyle w:val="716"/>
        <w:jc w:val="both"/>
        <w:spacing w:line="360" w:lineRule="auto"/>
        <w:rPr>
          <w:rFonts w:ascii="宋体"/>
          <w:sz w:val="21"/>
          <w:szCs w:val="21"/>
        </w:rPr>
      </w:pPr>
      <w:r>
        <w:rPr>
          <w:rFonts w:ascii="宋体"/>
          <w:sz w:val="21"/>
          <w:szCs w:val="21"/>
        </w:rPr>
      </w:r>
      <w:r/>
    </w:p>
    <w:p>
      <w:pPr>
        <w:pStyle w:val="716"/>
        <w:ind w:left="4620"/>
        <w:jc w:val="both"/>
        <w:spacing w:line="360" w:lineRule="auto"/>
        <w:rPr>
          <w:rFonts w:ascii="宋体"/>
          <w:sz w:val="21"/>
          <w:szCs w:val="21"/>
        </w:rPr>
      </w:pPr>
      <w:r>
        <w:rPr>
          <w:rFonts w:hint="eastAsia" w:ascii="宋体"/>
          <w:sz w:val="21"/>
          <w:szCs w:val="21"/>
        </w:rPr>
        <w:t xml:space="preserve">投标供应商：（盖章）</w:t>
      </w:r>
      <w:r/>
    </w:p>
    <w:p>
      <w:pPr>
        <w:pStyle w:val="716"/>
        <w:ind w:left="4620"/>
        <w:jc w:val="both"/>
        <w:spacing w:line="360" w:lineRule="auto"/>
        <w:rPr>
          <w:rFonts w:ascii="宋体"/>
          <w:sz w:val="21"/>
          <w:szCs w:val="21"/>
        </w:rPr>
      </w:pPr>
      <w:r>
        <w:rPr>
          <w:rFonts w:hint="eastAsia" w:ascii="宋体"/>
          <w:sz w:val="21"/>
          <w:szCs w:val="21"/>
        </w:rPr>
        <w:t xml:space="preserve">法定代表人：（签字或盖章）</w:t>
      </w:r>
      <w:r/>
    </w:p>
    <w:p>
      <w:pPr>
        <w:pStyle w:val="716"/>
        <w:ind w:left="4620"/>
        <w:jc w:val="both"/>
        <w:spacing w:line="360" w:lineRule="auto"/>
        <w:rPr>
          <w:rFonts w:ascii="宋体"/>
          <w:sz w:val="21"/>
          <w:szCs w:val="21"/>
        </w:rPr>
      </w:pPr>
      <w:r>
        <w:rPr>
          <w:rFonts w:hint="eastAsia" w:ascii="宋体"/>
          <w:sz w:val="21"/>
          <w:szCs w:val="21"/>
        </w:rPr>
        <w:t xml:space="preserve">被授权人：（签字或盖章）</w:t>
      </w:r>
      <w:r/>
    </w:p>
    <w:p>
      <w:pPr>
        <w:pStyle w:val="716"/>
        <w:ind w:left="5460"/>
        <w:jc w:val="both"/>
        <w:spacing w:line="360" w:lineRule="auto"/>
        <w:rPr>
          <w:rFonts w:ascii="宋体"/>
          <w:sz w:val="21"/>
          <w:szCs w:val="21"/>
        </w:rPr>
      </w:pPr>
      <w:r>
        <w:rPr>
          <w:rFonts w:hint="eastAsia" w:ascii="宋体"/>
          <w:sz w:val="21"/>
          <w:szCs w:val="21"/>
        </w:rPr>
        <w:t xml:space="preserve">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01"/>
        <w:rPr>
          <w:rFonts w:ascii="宋体"/>
          <w:bCs w:val="0"/>
          <w:sz w:val="28"/>
          <w:szCs w:val="28"/>
        </w:rPr>
      </w:pPr>
      <w:r/>
      <w:bookmarkStart w:id="41" w:name="_Toc116396554"/>
      <w:r/>
      <w:bookmarkStart w:id="42" w:name="_Toc116396233"/>
      <w:r/>
      <w:bookmarkStart w:id="43" w:name="_Toc62460935"/>
      <w:r/>
      <w:bookmarkStart w:id="44" w:name="_Toc497431308"/>
      <w:r/>
      <w:bookmarkStart w:id="45" w:name="_Ref366160082"/>
      <w:r/>
      <w:bookmarkStart w:id="46" w:name="_Ref77065825"/>
      <w:r>
        <w:rPr>
          <w:rFonts w:hint="eastAsia" w:ascii="宋体"/>
          <w:bCs w:val="0"/>
          <w:sz w:val="28"/>
          <w:szCs w:val="28"/>
        </w:rPr>
        <w:t xml:space="preserve">3、投标承诺函</w:t>
      </w:r>
      <w:bookmarkEnd w:id="41"/>
      <w:r/>
      <w:bookmarkEnd w:id="42"/>
      <w:r/>
      <w:bookmarkEnd w:id="43"/>
      <w:r/>
      <w:bookmarkEnd w:id="44"/>
      <w:r/>
      <w:bookmarkEnd w:id="45"/>
      <w:r/>
      <w:bookmarkEnd w:id="46"/>
      <w:r/>
      <w:r/>
    </w:p>
    <w:p>
      <w:pPr>
        <w:pStyle w:val="922"/>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江苏鑫鲲煜工程项目管理咨询有限公司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经仔细阅读和研究，我方同意招标文件的各条款要求，自愿参加________（项目名称、项目编号）对应采购包的投标，并作出如下承诺：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我方同意提供与投标有关的一切数据或资料，并保证所提供的投标文件及相关资料均真实有效，若有虚假，我方承担一切责任；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7、我方知晓上述行为的法律后果，本承诺书作为招标人要求我方履行违约赔偿义务的依据；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日期：         年     月     日</w:t>
      </w:r>
      <w:r/>
    </w:p>
    <w:p>
      <w:pPr>
        <w:pStyle w:val="922"/>
        <w:ind w:firstLine="3780"/>
        <w:rPr>
          <w:rFonts w:eastAsia="宋体"/>
          <w:sz w:val="21"/>
          <w:szCs w:val="21"/>
        </w:rPr>
      </w:pPr>
      <w:r>
        <w:rPr>
          <w:rFonts w:eastAsia="宋体"/>
          <w:sz w:val="21"/>
          <w:szCs w:val="21"/>
        </w:rPr>
      </w:r>
      <w:r/>
    </w:p>
    <w:p>
      <w:pPr>
        <w:pStyle w:val="922"/>
        <w:ind w:firstLine="3780"/>
        <w:rPr>
          <w:rFonts w:eastAsia="宋体"/>
          <w:sz w:val="21"/>
          <w:szCs w:val="21"/>
        </w:rPr>
      </w:pPr>
      <w:r>
        <w:rPr>
          <w:rFonts w:eastAsia="宋体"/>
          <w:sz w:val="21"/>
          <w:szCs w:val="21"/>
        </w:rPr>
      </w:r>
      <w:r/>
    </w:p>
    <w:p>
      <w:pPr>
        <w:pStyle w:val="922"/>
        <w:ind w:firstLine="3780"/>
        <w:rPr>
          <w:rFonts w:eastAsia="宋体"/>
          <w:sz w:val="21"/>
          <w:szCs w:val="21"/>
        </w:rPr>
      </w:pPr>
      <w:r>
        <w:rPr>
          <w:rFonts w:eastAsia="宋体"/>
          <w:sz w:val="21"/>
          <w:szCs w:val="21"/>
        </w:rPr>
      </w:r>
      <w:r/>
    </w:p>
    <w:p>
      <w:pPr>
        <w:pStyle w:val="701"/>
        <w:rPr>
          <w:rFonts w:ascii="宋体"/>
          <w:bCs w:val="0"/>
          <w:sz w:val="28"/>
          <w:szCs w:val="28"/>
        </w:rPr>
      </w:pPr>
      <w:r/>
      <w:bookmarkStart w:id="47" w:name="_Toc497431309"/>
      <w:r/>
      <w:bookmarkStart w:id="48" w:name="_Ref343881459"/>
      <w:r/>
      <w:bookmarkStart w:id="49" w:name="_Toc62460936"/>
      <w:r/>
      <w:bookmarkStart w:id="50" w:name="_Toc116396234"/>
      <w:r/>
      <w:bookmarkStart w:id="51" w:name="_Toc116396555"/>
      <w:r>
        <w:rPr>
          <w:rFonts w:hint="eastAsia" w:ascii="宋体"/>
          <w:bCs w:val="0"/>
          <w:sz w:val="28"/>
          <w:szCs w:val="28"/>
        </w:rPr>
        <w:t xml:space="preserve">4、开标一览表</w:t>
      </w:r>
      <w:bookmarkEnd w:id="47"/>
      <w:r/>
      <w:bookmarkEnd w:id="48"/>
      <w:r/>
      <w:bookmarkEnd w:id="49"/>
      <w:r/>
      <w:bookmarkEnd w:id="50"/>
      <w:r/>
      <w:bookmarkEnd w:id="51"/>
      <w:r/>
      <w:r/>
    </w:p>
    <w:p>
      <w:pPr>
        <w:pStyle w:val="922"/>
        <w:jc w:val="center"/>
        <w:rPr>
          <w:rFonts w:eastAsia="宋体"/>
          <w:sz w:val="24"/>
          <w:szCs w:val="24"/>
        </w:rPr>
      </w:pPr>
      <w:r>
        <w:rPr>
          <w:rFonts w:eastAsia="宋体"/>
          <w:sz w:val="24"/>
          <w:szCs w:val="24"/>
        </w:rPr>
        <w:t xml:space="preserve">开标一览表</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项目编号：JSZC-320583-XKYG-G202</w:t>
      </w:r>
      <w:r>
        <w:rPr>
          <w:rFonts w:hint="eastAsia" w:ascii="宋体" w:hAnsi="宋体" w:cs="宋体"/>
          <w:szCs w:val="21"/>
        </w:rPr>
        <w:t xml:space="preserve">5</w:t>
      </w:r>
      <w:r>
        <w:rPr>
          <w:rFonts w:ascii="宋体" w:hAnsi="宋体" w:cs="宋体"/>
          <w:szCs w:val="21"/>
        </w:rPr>
        <w:t xml:space="preserve">-000</w:t>
      </w:r>
      <w:r>
        <w:rPr>
          <w:rFonts w:hint="eastAsia" w:ascii="宋体" w:hAnsi="宋体" w:cs="宋体"/>
          <w:szCs w:val="21"/>
        </w:rPr>
        <w:t xml:space="preserve">7</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w:t>
            </w:r>
            <w:r>
              <w:rPr>
                <w:rFonts w:hint="eastAsia" w:ascii="宋体" w:hAnsi="宋体" w:cs="宋体"/>
                <w:szCs w:val="21"/>
              </w:rPr>
              <w:t xml:space="preserve">折扣率</w:t>
            </w:r>
            <w:r/>
          </w:p>
        </w:tc>
      </w:tr>
      <w:tr>
        <w:trPr>
          <w:trHeight w:val="469"/>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2026-2027年交通设施维护服务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   </w:t>
            </w:r>
            <w:r>
              <w:rPr>
                <w:rFonts w:hint="eastAsia" w:ascii="宋体" w:hAnsi="宋体" w:cs="宋体"/>
                <w:sz w:val="24"/>
              </w:rPr>
              <mc:AlternateContent>
                <mc:Choice Requires="wpg">
                  <w:drawing>
                    <wp:inline xmlns:wp="http://schemas.openxmlformats.org/drawingml/2006/wordprocessingDrawing" distT="0" distB="0" distL="0" distR="0">
                      <wp:extent cx="781050" cy="229235"/>
                      <wp:effectExtent l="0" t="0" r="0" b="18415"/>
                      <wp:docPr id="3"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4"/>
                              <a:stretch/>
                            </pic:blipFill>
                            <pic:spPr bwMode="auto">
                              <a:xfrm>
                                <a:off x="0" y="0"/>
                                <a:ext cx="781675"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5pt;height:18.1pt;mso-wrap-distance-left:0.0pt;mso-wrap-distance-top:0.0pt;mso-wrap-distance-right:0.0pt;mso-wrap-distance-bottom:0.0pt;" stroked="f">
                      <v:path textboxrect="0,0,0,0"/>
                      <v:imagedata r:id="rId14" o:title=""/>
                    </v:shape>
                  </w:pict>
                </mc:Fallback>
              </mc:AlternateContent>
            </w:r>
            <w:r>
              <w:rPr>
                <w:rFonts w:hint="eastAsia" w:ascii="宋体" w:hAnsi="宋体" w:cs="宋体"/>
                <w:szCs w:val="21"/>
              </w:rPr>
              <w:t xml:space="preserve">   %</w:t>
            </w:r>
            <w:r/>
          </w:p>
        </w:tc>
      </w:tr>
    </w:tbl>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jc w:val="left"/>
        <w:spacing w:before="100" w:beforeAutospacing="1" w:after="100" w:afterAutospacing="1"/>
        <w:widowControl/>
        <w:rPr>
          <w:rFonts w:ascii="宋体" w:hAnsi="宋体" w:cs="宋体"/>
          <w:szCs w:val="21"/>
        </w:rPr>
      </w:pPr>
      <w:r>
        <w:rPr>
          <w:rFonts w:ascii="宋体" w:hAnsi="宋体" w:cs="宋体"/>
          <w:szCs w:val="21"/>
        </w:rPr>
        <w:t xml:space="preserve">填写说明：</w:t>
      </w:r>
      <w:r/>
    </w:p>
    <w:p>
      <w:pPr>
        <w:spacing w:line="400" w:lineRule="exact"/>
        <w:tabs>
          <w:tab w:val="left" w:pos="1320" w:leader="none"/>
        </w:tabs>
        <w:rPr>
          <w:rFonts w:ascii="宋体" w:hAnsi="宋体" w:cs="宋体"/>
          <w:b/>
          <w:bCs/>
          <w:szCs w:val="21"/>
        </w:rPr>
      </w:pPr>
      <w:r>
        <w:rPr>
          <w:rFonts w:ascii="宋体" w:hAnsi="宋体" w:cs="宋体"/>
          <w:b/>
          <w:bCs/>
          <w:szCs w:val="21"/>
        </w:rPr>
        <w:t xml:space="preserve">1、开标一览表必须加盖投标人公章（复印件无效）。</w:t>
      </w:r>
      <w:r/>
    </w:p>
    <w:p>
      <w:pPr>
        <w:spacing w:line="400" w:lineRule="exact"/>
        <w:tabs>
          <w:tab w:val="left" w:pos="1320" w:leader="none"/>
        </w:tabs>
        <w:rPr>
          <w:rFonts w:ascii="宋体" w:hAnsi="宋体" w:cs="宋体"/>
          <w:b/>
          <w:bCs/>
          <w:szCs w:val="21"/>
        </w:rPr>
      </w:pPr>
      <w:r>
        <w:rPr>
          <w:rFonts w:hint="eastAsia" w:ascii="宋体" w:hAnsi="宋体" w:cs="宋体"/>
          <w:b/>
          <w:bCs/>
          <w:szCs w:val="21"/>
        </w:rPr>
        <w:t xml:space="preserve">2、</w:t>
      </w:r>
      <w:r>
        <w:rPr>
          <w:rFonts w:ascii="宋体" w:hAnsi="宋体" w:cs="宋体"/>
          <w:b/>
          <w:bCs/>
          <w:szCs w:val="21"/>
        </w:rPr>
        <w:t xml:space="preserve">报价要求：本次采购报价按照</w:t>
      </w:r>
      <w:r>
        <w:rPr>
          <w:rFonts w:hint="eastAsia" w:ascii="宋体" w:hAnsi="宋体" w:cs="宋体"/>
          <w:b/>
          <w:bCs/>
          <w:szCs w:val="21"/>
        </w:rPr>
        <w:t xml:space="preserve">折扣率</w:t>
      </w:r>
      <w:r>
        <w:rPr>
          <w:rFonts w:ascii="宋体" w:hAnsi="宋体" w:cs="宋体"/>
          <w:b/>
          <w:bCs/>
          <w:szCs w:val="21"/>
        </w:rPr>
        <w:t xml:space="preserve">报价。如报价打九折，则报价表中报价填写</w:t>
      </w:r>
      <w:r>
        <w:rPr>
          <w:rFonts w:hint="eastAsia" w:ascii="宋体" w:hAnsi="宋体" w:cs="宋体"/>
          <w:b/>
          <w:bCs/>
          <w:szCs w:val="21"/>
        </w:rPr>
        <w:t xml:space="preserve">折扣率90</w:t>
      </w:r>
      <w:r>
        <w:rPr>
          <w:rFonts w:ascii="宋体" w:hAnsi="宋体" w:cs="宋体"/>
          <w:b/>
          <w:bCs/>
          <w:szCs w:val="21"/>
        </w:rPr>
        <w:t xml:space="preserve">；如报价打八五折，则报价表中报价填写</w:t>
      </w:r>
      <w:r>
        <w:rPr>
          <w:rFonts w:hint="eastAsia" w:ascii="宋体" w:hAnsi="宋体" w:cs="宋体"/>
          <w:b/>
          <w:bCs/>
          <w:szCs w:val="21"/>
        </w:rPr>
        <w:t xml:space="preserve">折扣率85</w:t>
      </w:r>
      <w:r>
        <w:rPr>
          <w:rFonts w:ascii="宋体" w:hAnsi="宋体" w:cs="宋体"/>
          <w:b/>
          <w:bCs/>
          <w:szCs w:val="21"/>
        </w:rPr>
        <w:t xml:space="preserve">；以此类推</w:t>
      </w:r>
      <w:r>
        <w:rPr>
          <w:rFonts w:hint="eastAsia" w:ascii="宋体" w:hAnsi="宋体" w:cs="宋体"/>
          <w:b/>
          <w:bCs/>
          <w:szCs w:val="21"/>
        </w:rPr>
        <w:t xml:space="preserve">，</w:t>
      </w:r>
      <w:r>
        <w:rPr>
          <w:rFonts w:hint="eastAsia" w:ascii="宋体" w:hAnsi="宋体"/>
          <w:b/>
          <w:szCs w:val="21"/>
        </w:rPr>
        <w:t xml:space="preserve">不加 “</w:t>
      </w:r>
      <w:r>
        <w:rPr>
          <w:rFonts w:ascii="宋体" w:hAnsi="宋体"/>
          <w:b/>
          <w:szCs w:val="21"/>
        </w:rPr>
        <w:t xml:space="preserve">%</w:t>
      </w:r>
      <w:r>
        <w:rPr>
          <w:rFonts w:hint="eastAsia" w:ascii="宋体" w:hAnsi="宋体"/>
          <w:b/>
          <w:szCs w:val="21"/>
        </w:rPr>
        <w:t xml:space="preserve">”号</w:t>
      </w:r>
      <w:r>
        <w:rPr>
          <w:rFonts w:ascii="宋体" w:hAnsi="宋体" w:cs="宋体"/>
          <w:b/>
          <w:bCs/>
          <w:szCs w:val="21"/>
        </w:rPr>
        <w:t xml:space="preserve">。</w:t>
      </w:r>
      <w:r>
        <w:rPr>
          <w:rFonts w:hint="eastAsia" w:ascii="宋体" w:hAnsi="宋体" w:cs="宋体"/>
          <w:b/>
          <w:bCs/>
          <w:szCs w:val="21"/>
        </w:rPr>
        <w:t xml:space="preserve">苏采云系统开标一览表中的“投标优惠率”即投标折扣率。</w:t>
      </w:r>
      <w:r/>
    </w:p>
    <w:p>
      <w:pPr>
        <w:spacing w:line="400" w:lineRule="exact"/>
        <w:tabs>
          <w:tab w:val="left" w:pos="1320" w:leader="none"/>
        </w:tabs>
        <w:rPr>
          <w:rFonts w:ascii="宋体" w:hAnsi="宋体" w:cs="宋体"/>
          <w:b/>
          <w:bCs/>
          <w:szCs w:val="21"/>
        </w:rPr>
      </w:pPr>
      <w:r>
        <w:rPr>
          <w:rFonts w:ascii="宋体" w:hAnsi="宋体" w:cs="宋体"/>
          <w:b/>
          <w:bCs/>
          <w:szCs w:val="21"/>
        </w:rPr>
        <w:t xml:space="preserve">价格得分计算方法：根据各供应商通过符合性审查的有效响应</w:t>
      </w:r>
      <w:r>
        <w:rPr>
          <w:rFonts w:hint="eastAsia" w:ascii="宋体" w:hAnsi="宋体" w:cs="宋体"/>
          <w:b/>
          <w:bCs/>
          <w:szCs w:val="21"/>
        </w:rPr>
        <w:t xml:space="preserve">的最低投标折扣</w:t>
      </w:r>
      <w:r>
        <w:rPr>
          <w:rFonts w:ascii="宋体" w:hAnsi="宋体" w:cs="宋体"/>
          <w:b/>
          <w:bCs/>
          <w:szCs w:val="21"/>
        </w:rPr>
        <w:t xml:space="preserve">作为</w:t>
      </w:r>
      <w:r>
        <w:rPr>
          <w:rFonts w:hint="eastAsia" w:ascii="宋体" w:hAnsi="宋体" w:cs="宋体"/>
          <w:b/>
          <w:bCs/>
          <w:szCs w:val="21"/>
        </w:rPr>
        <w:t xml:space="preserve">评标</w:t>
      </w:r>
      <w:r>
        <w:rPr>
          <w:rFonts w:ascii="宋体" w:hAnsi="宋体" w:cs="宋体"/>
          <w:b/>
          <w:bCs/>
          <w:szCs w:val="21"/>
        </w:rPr>
        <w:t xml:space="preserve">基准</w:t>
      </w:r>
      <w:r>
        <w:rPr>
          <w:rFonts w:hint="eastAsia" w:ascii="宋体" w:hAnsi="宋体" w:cs="宋体"/>
          <w:b/>
          <w:bCs/>
          <w:szCs w:val="21"/>
        </w:rPr>
        <w:t xml:space="preserve">折扣</w:t>
      </w:r>
      <w:r>
        <w:rPr>
          <w:rFonts w:ascii="宋体" w:hAnsi="宋体" w:cs="宋体"/>
          <w:b/>
          <w:bCs/>
          <w:szCs w:val="21"/>
        </w:rPr>
        <w:t xml:space="preserve">，其价格分为满分。供应商价格分计算公式：价格得分=【</w:t>
      </w:r>
      <w:r>
        <w:rPr>
          <w:rFonts w:hint="eastAsia" w:ascii="宋体" w:hAnsi="宋体" w:cs="宋体"/>
          <w:b/>
          <w:bCs/>
          <w:szCs w:val="21"/>
        </w:rPr>
        <w:t xml:space="preserve">评标基准折扣</w:t>
      </w:r>
      <w:r>
        <w:rPr>
          <w:rFonts w:ascii="宋体" w:hAnsi="宋体" w:cs="宋体"/>
          <w:b/>
          <w:bCs/>
          <w:szCs w:val="21"/>
        </w:rPr>
        <w:t xml:space="preserve">/</w:t>
      </w:r>
      <w:r>
        <w:rPr>
          <w:rFonts w:hint="eastAsia" w:ascii="宋体" w:hAnsi="宋体" w:cs="宋体"/>
          <w:b/>
          <w:bCs/>
          <w:szCs w:val="21"/>
        </w:rPr>
        <w:t xml:space="preserve">投标折扣</w:t>
      </w:r>
      <w:r>
        <w:rPr>
          <w:rFonts w:ascii="宋体" w:hAnsi="宋体" w:cs="宋体"/>
          <w:b/>
          <w:bCs/>
          <w:szCs w:val="21"/>
        </w:rPr>
        <w:t xml:space="preserve">】×价格权重×100（计算到小数点后二位）</w:t>
      </w:r>
      <w:r>
        <w:rPr>
          <w:rFonts w:hint="eastAsia" w:ascii="宋体" w:hAnsi="宋体" w:cs="宋体"/>
          <w:b/>
          <w:bCs/>
          <w:szCs w:val="21"/>
        </w:rPr>
        <w:t xml:space="preserve">。</w:t>
      </w:r>
      <w:r/>
    </w:p>
    <w:p>
      <w:pPr>
        <w:spacing w:line="400" w:lineRule="exact"/>
        <w:tabs>
          <w:tab w:val="left" w:pos="1320" w:leader="none"/>
        </w:tabs>
        <w:rPr>
          <w:rFonts w:ascii="宋体" w:hAnsi="宋体" w:cs="宋体"/>
          <w:b/>
          <w:bCs/>
          <w:szCs w:val="21"/>
        </w:rPr>
      </w:pPr>
      <w:r>
        <w:rPr>
          <w:rFonts w:hint="eastAsia" w:ascii="宋体" w:hAnsi="宋体" w:cs="宋体"/>
          <w:b/>
          <w:bCs/>
          <w:szCs w:val="21"/>
        </w:rPr>
        <w:t xml:space="preserve">3、</w:t>
      </w:r>
      <w:r>
        <w:rPr>
          <w:rFonts w:ascii="宋体" w:hAnsi="宋体" w:cs="宋体"/>
          <w:b/>
          <w:bCs/>
          <w:szCs w:val="21"/>
        </w:rPr>
        <w:t xml:space="preserve">中标</w:t>
      </w:r>
      <w:r>
        <w:rPr>
          <w:rFonts w:hint="eastAsia" w:ascii="宋体" w:hAnsi="宋体" w:cs="宋体"/>
          <w:b/>
          <w:bCs/>
          <w:szCs w:val="21"/>
        </w:rPr>
        <w:t xml:space="preserve">折扣</w:t>
      </w:r>
      <w:r>
        <w:rPr>
          <w:rFonts w:ascii="宋体" w:hAnsi="宋体" w:cs="宋体"/>
          <w:b/>
          <w:bCs/>
          <w:szCs w:val="21"/>
        </w:rPr>
        <w:t xml:space="preserve">率在合同期内不得作任何更改</w:t>
      </w:r>
      <w:r>
        <w:rPr>
          <w:rFonts w:hint="eastAsia" w:ascii="宋体" w:hAnsi="宋体" w:cs="宋体"/>
          <w:b/>
          <w:bCs/>
          <w:szCs w:val="21"/>
        </w:rPr>
        <w:t xml:space="preserve">。</w:t>
      </w:r>
      <w:r/>
    </w:p>
    <w:p>
      <w:pPr>
        <w:spacing w:line="400" w:lineRule="exact"/>
        <w:tabs>
          <w:tab w:val="left" w:pos="1320" w:leader="none"/>
        </w:tabs>
        <w:rPr>
          <w:rFonts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苏采云系统内开标一览表总报价须与上表中</w:t>
      </w:r>
      <w:r>
        <w:rPr>
          <w:rFonts w:hint="eastAsia" w:ascii="宋体" w:hAnsi="宋体" w:cs="宋体"/>
          <w:b/>
          <w:bCs/>
          <w:szCs w:val="21"/>
        </w:rPr>
        <w:t xml:space="preserve">的折扣率</w:t>
      </w:r>
      <w:r>
        <w:rPr>
          <w:rFonts w:ascii="宋体" w:hAnsi="宋体" w:cs="宋体"/>
          <w:b/>
          <w:bCs/>
          <w:szCs w:val="21"/>
        </w:rPr>
        <w:t xml:space="preserve">保持一致，且投标</w:t>
      </w:r>
      <w:r>
        <w:rPr>
          <w:rFonts w:hint="eastAsia" w:ascii="宋体" w:hAnsi="宋体" w:cs="宋体"/>
          <w:b/>
          <w:bCs/>
          <w:szCs w:val="21"/>
        </w:rPr>
        <w:t xml:space="preserve">折扣率</w:t>
      </w:r>
      <w:r>
        <w:rPr>
          <w:rFonts w:ascii="宋体" w:hAnsi="宋体" w:cs="宋体"/>
          <w:b/>
          <w:bCs/>
          <w:szCs w:val="21"/>
        </w:rPr>
        <w:t xml:space="preserve">必须为固定数值，不接受区间报价，否则为无效标。</w:t>
      </w:r>
      <w:r/>
    </w:p>
    <w:p>
      <w:pPr>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pPr>
        <w:pStyle w:val="701"/>
        <w:rPr>
          <w:rFonts w:ascii="宋体"/>
          <w:bCs w:val="0"/>
          <w:sz w:val="28"/>
          <w:szCs w:val="28"/>
        </w:rPr>
      </w:pPr>
      <w:r/>
      <w:bookmarkStart w:id="52" w:name="_Toc116396235"/>
      <w:r/>
      <w:bookmarkStart w:id="53" w:name="_Ref24545"/>
      <w:r/>
      <w:bookmarkStart w:id="54" w:name="_Toc116396556"/>
      <w:r/>
      <w:bookmarkStart w:id="55" w:name="_Ref159162392"/>
      <w:r>
        <w:rPr>
          <w:rFonts w:hint="eastAsia" w:ascii="宋体"/>
          <w:bCs w:val="0"/>
          <w:sz w:val="28"/>
          <w:szCs w:val="28"/>
        </w:rPr>
        <w:t xml:space="preserve">5、公开分项</w:t>
      </w:r>
      <w:bookmarkEnd w:id="52"/>
      <w:r/>
      <w:bookmarkEnd w:id="53"/>
      <w:r/>
      <w:bookmarkEnd w:id="54"/>
      <w:r>
        <w:rPr>
          <w:rFonts w:hint="eastAsia" w:ascii="宋体"/>
          <w:bCs w:val="0"/>
          <w:sz w:val="28"/>
          <w:szCs w:val="28"/>
        </w:rPr>
        <w:t xml:space="preserve">报价表</w:t>
      </w:r>
      <w:bookmarkEnd w:id="55"/>
      <w:r/>
      <w:r/>
    </w:p>
    <w:p>
      <w:pPr>
        <w:pStyle w:val="922"/>
        <w:jc w:val="center"/>
        <w:spacing w:line="360" w:lineRule="auto"/>
        <w:rPr>
          <w:rFonts w:eastAsia="宋体"/>
          <w:color w:val="000000"/>
          <w:sz w:val="24"/>
          <w:szCs w:val="24"/>
        </w:rPr>
      </w:pPr>
      <w:r>
        <w:rPr>
          <w:rFonts w:eastAsia="宋体"/>
          <w:color w:val="000000"/>
          <w:sz w:val="24"/>
          <w:szCs w:val="24"/>
          <w:u w:val="single"/>
        </w:rPr>
        <w:t xml:space="preserve">  </w:t>
      </w:r>
      <w:r>
        <w:rPr>
          <w:rFonts w:ascii="Times New Roman" w:hAnsi="Times New Roman" w:eastAsia="宋体"/>
          <w:i/>
          <w:iCs/>
          <w:sz w:val="24"/>
          <w:szCs w:val="24"/>
          <w:u w:val="single"/>
        </w:rPr>
        <w:t xml:space="preserve"> </w:t>
      </w:r>
      <w:r>
        <w:rPr>
          <w:rFonts w:hint="eastAsia" w:ascii="Times New Roman" w:hAnsi="Times New Roman" w:eastAsia="宋体"/>
          <w:i/>
          <w:iCs/>
          <w:sz w:val="24"/>
          <w:szCs w:val="24"/>
          <w:u w:val="single"/>
        </w:rPr>
        <w:t xml:space="preserve">（项目名称）</w:t>
      </w:r>
      <w:r>
        <w:rPr>
          <w:rFonts w:ascii="Times New Roman" w:hAnsi="Times New Roman" w:eastAsia="宋体"/>
          <w:i/>
          <w:iCs/>
          <w:sz w:val="24"/>
          <w:szCs w:val="24"/>
          <w:u w:val="single"/>
        </w:rPr>
        <w:t xml:space="preserve">  </w:t>
      </w:r>
      <w:r>
        <w:rPr>
          <w:rFonts w:hint="eastAsia" w:eastAsia="宋体"/>
          <w:color w:val="000000"/>
          <w:sz w:val="24"/>
          <w:szCs w:val="24"/>
        </w:rPr>
        <w:t xml:space="preserve">分项报价</w:t>
      </w:r>
      <w:r>
        <w:rPr>
          <w:rFonts w:eastAsia="宋体"/>
          <w:color w:val="000000"/>
          <w:sz w:val="24"/>
          <w:szCs w:val="24"/>
        </w:rPr>
        <w:t xml:space="preserve">表</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76"/>
        <w:gridCol w:w="1794"/>
        <w:gridCol w:w="1158"/>
        <w:gridCol w:w="1469"/>
        <w:gridCol w:w="1461"/>
        <w:gridCol w:w="1461"/>
        <w:gridCol w:w="1463"/>
      </w:tblGrid>
      <w:tr>
        <w:trPr>
          <w:cantSplit/>
        </w:trPr>
        <w:tc>
          <w:tcPr>
            <w:tcBorders>
              <w:top w:val="single" w:color="auto" w:sz="4" w:space="0"/>
              <w:left w:val="single" w:color="auto" w:sz="4" w:space="0"/>
              <w:bottom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964" w:type="pct"/>
            <w:vAlign w:val="center"/>
            <w:textDirection w:val="lrTb"/>
            <w:noWrap w:val="false"/>
          </w:tcPr>
          <w:p>
            <w:pPr>
              <w:jc w:val="center"/>
              <w:widowControl/>
              <w:rPr>
                <w:rFonts w:ascii="宋体" w:hAnsi="宋体" w:cs="宋体"/>
                <w:bCs/>
                <w:szCs w:val="21"/>
              </w:rPr>
            </w:pPr>
            <w:r>
              <w:rPr>
                <w:rFonts w:hint="eastAsia" w:ascii="宋体" w:hAnsi="宋体" w:cs="宋体"/>
                <w:b/>
                <w:bCs/>
                <w:sz w:val="20"/>
                <w:szCs w:val="20"/>
                <w:lang w:bidi="ar"/>
              </w:rPr>
              <w:t xml:space="preserve">项目名称及项目特征描述</w:t>
            </w:r>
            <w:r/>
          </w:p>
        </w:tc>
        <w:tc>
          <w:tcPr>
            <w:tcBorders>
              <w:top w:val="single" w:color="auto" w:sz="4" w:space="0"/>
              <w:left w:val="single" w:color="auto" w:sz="4" w:space="0"/>
              <w:bottom w:val="single" w:color="auto" w:sz="4" w:space="0"/>
              <w:right w:val="single" w:color="auto" w:sz="4" w:space="0"/>
            </w:tcBorders>
            <w:tcW w:w="623" w:type="pct"/>
            <w:vAlign w:val="center"/>
            <w:textDirection w:val="lrTb"/>
            <w:noWrap w:val="false"/>
          </w:tcPr>
          <w:p>
            <w:pPr>
              <w:jc w:val="center"/>
              <w:widowControl/>
              <w:rPr>
                <w:rFonts w:ascii="宋体" w:hAnsi="宋体" w:cs="宋体"/>
                <w:b/>
                <w:bCs/>
                <w:sz w:val="20"/>
                <w:szCs w:val="20"/>
                <w:lang w:bidi="ar"/>
              </w:rPr>
            </w:pPr>
            <w:r>
              <w:rPr>
                <w:rFonts w:hint="eastAsia" w:ascii="宋体" w:hAnsi="宋体" w:cs="宋体"/>
                <w:b/>
                <w:bCs/>
                <w:sz w:val="20"/>
                <w:szCs w:val="20"/>
                <w:lang w:bidi="ar"/>
              </w:rPr>
              <w:t xml:space="preserve">计量</w:t>
            </w:r>
            <w:r/>
          </w:p>
          <w:p>
            <w:pPr>
              <w:jc w:val="center"/>
              <w:widowControl/>
              <w:rPr>
                <w:rFonts w:ascii="宋体" w:hAnsi="宋体" w:cs="宋体"/>
                <w:bCs/>
                <w:szCs w:val="21"/>
              </w:rPr>
            </w:pPr>
            <w:r>
              <w:rPr>
                <w:rFonts w:hint="eastAsia" w:ascii="宋体" w:hAnsi="宋体" w:cs="宋体"/>
                <w:b/>
                <w:bCs/>
                <w:sz w:val="20"/>
                <w:szCs w:val="20"/>
                <w:lang w:bidi="ar"/>
              </w:rPr>
              <w:t xml:space="preserve">单位</w:t>
            </w:r>
            <w:r/>
          </w:p>
        </w:tc>
        <w:tc>
          <w:tcPr>
            <w:tcBorders>
              <w:top w:val="single" w:color="auto" w:sz="4" w:space="0"/>
              <w:left w:val="single" w:color="auto" w:sz="4" w:space="0"/>
              <w:bottom w:val="single" w:color="auto" w:sz="4" w:space="0"/>
              <w:right w:val="single" w:color="auto" w:sz="4" w:space="0"/>
            </w:tcBorders>
            <w:tcW w:w="790" w:type="pct"/>
            <w:vAlign w:val="center"/>
            <w:textDirection w:val="lrTb"/>
            <w:noWrap w:val="false"/>
          </w:tcPr>
          <w:p>
            <w:pPr>
              <w:jc w:val="center"/>
              <w:widowControl/>
              <w:rPr>
                <w:rFonts w:ascii="宋体" w:hAnsi="宋体" w:cs="宋体"/>
                <w:bCs/>
                <w:szCs w:val="21"/>
              </w:rPr>
            </w:pPr>
            <w:r>
              <w:rPr>
                <w:rFonts w:hint="eastAsia" w:ascii="宋体" w:hAnsi="宋体" w:cs="宋体"/>
                <w:b/>
                <w:bCs/>
                <w:sz w:val="20"/>
                <w:szCs w:val="20"/>
                <w:lang w:bidi="ar"/>
              </w:rPr>
              <w:t xml:space="preserve">工程量</w:t>
            </w:r>
            <w:r/>
          </w:p>
        </w:tc>
        <w:tc>
          <w:tcPr>
            <w:tcBorders>
              <w:top w:val="single" w:color="auto" w:sz="4" w:space="0"/>
              <w:left w:val="single" w:color="auto" w:sz="4" w:space="0"/>
              <w:bottom w:val="single" w:color="auto" w:sz="4" w:space="0"/>
              <w:right w:val="single" w:color="auto" w:sz="4" w:space="0"/>
            </w:tcBorders>
            <w:tcW w:w="787" w:type="pct"/>
            <w:vAlign w:val="center"/>
            <w:textDirection w:val="lrTb"/>
            <w:noWrap w:val="false"/>
          </w:tcPr>
          <w:p>
            <w:pPr>
              <w:jc w:val="center"/>
              <w:widowControl/>
              <w:rPr>
                <w:rFonts w:ascii="宋体" w:hAnsi="宋体" w:cs="宋体"/>
                <w:b/>
                <w:bCs/>
                <w:sz w:val="20"/>
                <w:szCs w:val="20"/>
                <w:lang w:bidi="ar"/>
              </w:rPr>
            </w:pPr>
            <w:r>
              <w:rPr>
                <w:rFonts w:hint="eastAsia" w:ascii="宋体" w:hAnsi="宋体" w:cs="宋体"/>
                <w:b/>
                <w:bCs/>
                <w:sz w:val="20"/>
                <w:szCs w:val="20"/>
                <w:lang w:bidi="ar"/>
              </w:rPr>
              <w:t xml:space="preserve">预算综合</w:t>
            </w:r>
            <w:r/>
          </w:p>
          <w:p>
            <w:pPr>
              <w:jc w:val="center"/>
              <w:widowControl/>
              <w:rPr>
                <w:rFonts w:ascii="宋体" w:hAnsi="宋体" w:cs="宋体"/>
                <w:bCs/>
                <w:szCs w:val="21"/>
              </w:rPr>
            </w:pPr>
            <w:r>
              <w:rPr>
                <w:rFonts w:hint="eastAsia" w:ascii="宋体" w:hAnsi="宋体" w:cs="宋体"/>
                <w:b/>
                <w:bCs/>
                <w:sz w:val="20"/>
                <w:szCs w:val="20"/>
                <w:lang w:bidi="ar"/>
              </w:rPr>
              <w:t xml:space="preserve">单价（元）</w:t>
            </w:r>
            <w:r/>
          </w:p>
        </w:tc>
        <w:tc>
          <w:tcPr>
            <w:tcBorders>
              <w:top w:val="single" w:color="auto" w:sz="4" w:space="0"/>
              <w:left w:val="single" w:color="auto" w:sz="4" w:space="0"/>
              <w:bottom w:val="single" w:color="auto" w:sz="4" w:space="0"/>
              <w:right w:val="single" w:color="auto" w:sz="4" w:space="0"/>
            </w:tcBorders>
            <w:tcW w:w="787" w:type="pct"/>
            <w:vAlign w:val="center"/>
            <w:textDirection w:val="lrTb"/>
            <w:noWrap w:val="false"/>
          </w:tcPr>
          <w:p>
            <w:pPr>
              <w:jc w:val="center"/>
              <w:widowControl/>
              <w:rPr>
                <w:rFonts w:ascii="宋体" w:hAnsi="宋体" w:cs="宋体"/>
                <w:b/>
                <w:bCs/>
                <w:sz w:val="20"/>
                <w:szCs w:val="20"/>
                <w:lang w:bidi="ar"/>
              </w:rPr>
            </w:pPr>
            <w:r>
              <w:rPr>
                <w:rFonts w:hint="eastAsia" w:ascii="宋体" w:hAnsi="宋体" w:cs="宋体"/>
                <w:b/>
                <w:bCs/>
                <w:sz w:val="20"/>
                <w:szCs w:val="20"/>
                <w:lang w:bidi="ar"/>
              </w:rPr>
              <w:t xml:space="preserve">投标折扣</w:t>
            </w:r>
            <w:r/>
          </w:p>
          <w:p>
            <w:pPr>
              <w:jc w:val="center"/>
              <w:widowControl/>
              <w:rPr>
                <w:rFonts w:ascii="宋体" w:hAnsi="宋体" w:cs="宋体"/>
                <w:bCs/>
                <w:szCs w:val="21"/>
              </w:rPr>
            </w:pPr>
            <w:r>
              <w:rPr>
                <w:rFonts w:hint="eastAsia" w:ascii="宋体" w:hAnsi="宋体" w:cs="宋体"/>
                <w:b/>
                <w:bCs/>
                <w:sz w:val="20"/>
                <w:szCs w:val="20"/>
                <w:lang w:bidi="ar"/>
              </w:rPr>
              <w:t xml:space="preserve">（统一）</w:t>
            </w:r>
            <w:r/>
          </w:p>
        </w:tc>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widowControl/>
              <w:rPr>
                <w:rFonts w:ascii="宋体" w:hAnsi="宋体" w:cs="宋体"/>
                <w:b/>
                <w:bCs/>
                <w:sz w:val="20"/>
                <w:szCs w:val="20"/>
                <w:lang w:bidi="ar"/>
              </w:rPr>
            </w:pPr>
            <w:r>
              <w:rPr>
                <w:rFonts w:hint="eastAsia" w:ascii="宋体" w:hAnsi="宋体" w:cs="宋体"/>
                <w:b/>
                <w:bCs/>
                <w:sz w:val="20"/>
                <w:szCs w:val="20"/>
                <w:lang w:bidi="ar"/>
              </w:rPr>
              <w:t xml:space="preserve">投标综合</w:t>
            </w:r>
            <w:r/>
          </w:p>
          <w:p>
            <w:pPr>
              <w:jc w:val="center"/>
              <w:widowControl/>
              <w:rPr>
                <w:rFonts w:ascii="宋体" w:hAnsi="宋体" w:cs="宋体"/>
                <w:bCs/>
                <w:szCs w:val="21"/>
              </w:rPr>
            </w:pPr>
            <w:r>
              <w:rPr>
                <w:rFonts w:hint="eastAsia" w:ascii="宋体" w:hAnsi="宋体" w:cs="宋体"/>
                <w:b/>
                <w:bCs/>
                <w:sz w:val="20"/>
                <w:szCs w:val="20"/>
                <w:lang w:bidi="ar"/>
              </w:rPr>
              <w:t xml:space="preserve">折扣单价（元）</w:t>
            </w:r>
            <w:r/>
          </w:p>
        </w:tc>
      </w:tr>
      <w:tr>
        <w:trPr>
          <w:cantSplit/>
        </w:trPr>
        <w:tc>
          <w:tcPr>
            <w:tcBorders>
              <w:top w:val="single" w:color="auto" w:sz="4" w:space="0"/>
              <w:left w:val="single" w:color="auto" w:sz="4" w:space="0"/>
              <w:bottom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964"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90"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spacing w:line="520" w:lineRule="exact"/>
              <w:rPr>
                <w:rFonts w:ascii="宋体" w:hAnsi="宋体" w:cs="宋体"/>
                <w:bCs/>
                <w:szCs w:val="21"/>
              </w:rPr>
            </w:pPr>
            <w:r>
              <w:rPr>
                <w:rFonts w:ascii="宋体" w:hAnsi="宋体" w:cs="宋体"/>
                <w:bCs/>
                <w:szCs w:val="21"/>
              </w:rPr>
            </w:r>
            <w:r/>
          </w:p>
        </w:tc>
      </w:tr>
      <w:tr>
        <w:trPr>
          <w:cantSplit/>
        </w:trPr>
        <w:tc>
          <w:tcPr>
            <w:tcBorders>
              <w:top w:val="single" w:color="auto" w:sz="4" w:space="0"/>
              <w:left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right w:val="single" w:color="auto" w:sz="4" w:space="0"/>
            </w:tcBorders>
            <w:tcW w:w="964" w:type="pct"/>
            <w:textDirection w:val="lrTb"/>
            <w:noWrap w:val="false"/>
          </w:tcPr>
          <w:p>
            <w:pPr>
              <w:spacing w:line="52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90"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spacing w:line="520" w:lineRule="exact"/>
              <w:rPr>
                <w:rFonts w:ascii="宋体" w:hAnsi="宋体" w:cs="宋体"/>
                <w:bCs/>
                <w:szCs w:val="21"/>
              </w:rPr>
            </w:pPr>
            <w:r>
              <w:rPr>
                <w:rFonts w:ascii="宋体" w:hAnsi="宋体" w:cs="宋体"/>
                <w:bCs/>
                <w:szCs w:val="21"/>
              </w:rPr>
            </w:r>
            <w:r/>
          </w:p>
        </w:tc>
      </w:tr>
      <w:tr>
        <w:trPr>
          <w:cantSplit/>
        </w:trPr>
        <w:tc>
          <w:tcPr>
            <w:tcBorders>
              <w:top w:val="single" w:color="auto" w:sz="4" w:space="0"/>
              <w:left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right w:val="single" w:color="auto" w:sz="4" w:space="0"/>
            </w:tcBorders>
            <w:tcW w:w="964" w:type="pct"/>
            <w:textDirection w:val="lrTb"/>
            <w:noWrap w:val="false"/>
          </w:tcPr>
          <w:p>
            <w:pPr>
              <w:spacing w:line="52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90"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spacing w:line="520" w:lineRule="exact"/>
              <w:rPr>
                <w:rFonts w:ascii="宋体" w:hAnsi="宋体" w:cs="宋体"/>
                <w:bCs/>
                <w:szCs w:val="21"/>
              </w:rPr>
            </w:pPr>
            <w:r>
              <w:rPr>
                <w:rFonts w:ascii="宋体" w:hAnsi="宋体" w:cs="宋体"/>
                <w:bCs/>
                <w:szCs w:val="21"/>
              </w:rPr>
            </w:r>
            <w:r/>
          </w:p>
        </w:tc>
      </w:tr>
      <w:tr>
        <w:trPr>
          <w:cantSplit/>
        </w:trPr>
        <w:tc>
          <w:tcPr>
            <w:tcBorders>
              <w:top w:val="single" w:color="auto" w:sz="4" w:space="0"/>
              <w:left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right w:val="single" w:color="auto" w:sz="4" w:space="0"/>
            </w:tcBorders>
            <w:tcW w:w="964" w:type="pct"/>
            <w:textDirection w:val="lrTb"/>
            <w:noWrap w:val="false"/>
          </w:tcPr>
          <w:p>
            <w:pPr>
              <w:spacing w:line="52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90"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spacing w:line="520" w:lineRule="exact"/>
              <w:rPr>
                <w:rFonts w:ascii="宋体" w:hAnsi="宋体" w:cs="宋体"/>
                <w:bCs/>
                <w:szCs w:val="21"/>
              </w:rPr>
            </w:pPr>
            <w:r>
              <w:rPr>
                <w:rFonts w:ascii="宋体" w:hAnsi="宋体" w:cs="宋体"/>
                <w:bCs/>
                <w:szCs w:val="21"/>
              </w:rPr>
            </w:r>
            <w:r/>
          </w:p>
        </w:tc>
      </w:tr>
      <w:tr>
        <w:trPr>
          <w:cantSplit/>
        </w:trPr>
        <w:tc>
          <w:tcPr>
            <w:tcBorders>
              <w:top w:val="single" w:color="auto" w:sz="4" w:space="0"/>
              <w:left w:val="single" w:color="auto" w:sz="4" w:space="0"/>
              <w:bottom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964"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90"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spacing w:line="520" w:lineRule="exact"/>
              <w:rPr>
                <w:rFonts w:ascii="宋体" w:hAnsi="宋体" w:cs="宋体"/>
                <w:bCs/>
                <w:szCs w:val="21"/>
              </w:rPr>
            </w:pPr>
            <w:r>
              <w:rPr>
                <w:rFonts w:ascii="宋体" w:hAnsi="宋体" w:cs="宋体"/>
                <w:bCs/>
                <w:szCs w:val="21"/>
              </w:rPr>
            </w:r>
            <w:r/>
          </w:p>
        </w:tc>
      </w:tr>
      <w:tr>
        <w:trPr>
          <w:cantSplit/>
        </w:trPr>
        <w:tc>
          <w:tcPr>
            <w:tcBorders>
              <w:top w:val="single" w:color="auto" w:sz="4" w:space="0"/>
              <w:left w:val="single" w:color="auto" w:sz="4" w:space="0"/>
              <w:bottom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964"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90"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spacing w:line="520" w:lineRule="exact"/>
              <w:rPr>
                <w:rFonts w:ascii="宋体" w:hAnsi="宋体" w:cs="宋体"/>
                <w:bCs/>
                <w:szCs w:val="21"/>
              </w:rPr>
            </w:pPr>
            <w:r>
              <w:rPr>
                <w:rFonts w:ascii="宋体" w:hAnsi="宋体" w:cs="宋体"/>
                <w:bCs/>
                <w:szCs w:val="21"/>
              </w:rPr>
            </w:r>
            <w:r/>
          </w:p>
        </w:tc>
      </w:tr>
      <w:tr>
        <w:trPr>
          <w:cantSplit/>
        </w:trPr>
        <w:tc>
          <w:tcPr>
            <w:tcBorders>
              <w:top w:val="single" w:color="auto" w:sz="4" w:space="0"/>
              <w:left w:val="single" w:color="auto" w:sz="4" w:space="0"/>
              <w:bottom w:val="single" w:color="auto" w:sz="4" w:space="0"/>
              <w:right w:val="single" w:color="auto" w:sz="4" w:space="0"/>
            </w:tcBorders>
            <w:tcW w:w="256"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964"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623"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90"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spacing w:line="520" w:lineRule="exact"/>
              <w:rPr>
                <w:rFonts w:ascii="宋体" w:hAnsi="宋体" w:cs="宋体"/>
                <w:bCs/>
                <w:szCs w:val="21"/>
              </w:rPr>
            </w:pPr>
            <w:r>
              <w:rPr>
                <w:rFonts w:ascii="宋体" w:hAnsi="宋体" w:cs="宋体"/>
                <w:bCs/>
                <w:szCs w:val="21"/>
              </w:rPr>
            </w:r>
            <w:r/>
          </w:p>
        </w:tc>
      </w:tr>
      <w:tr>
        <w:trPr>
          <w:cantSplit/>
        </w:trPr>
        <w:tc>
          <w:tcPr>
            <w:gridSpan w:val="2"/>
            <w:tcBorders>
              <w:top w:val="single" w:color="auto" w:sz="4" w:space="0"/>
              <w:left w:val="single" w:color="auto" w:sz="4" w:space="0"/>
              <w:bottom w:val="single" w:color="auto" w:sz="4" w:space="0"/>
              <w:right w:val="single" w:color="auto" w:sz="4" w:space="0"/>
            </w:tcBorders>
            <w:tcW w:w="1221"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投标总报价（折扣）</w:t>
            </w:r>
            <w:r/>
          </w:p>
        </w:tc>
        <w:tc>
          <w:tcPr>
            <w:gridSpan w:val="2"/>
            <w:tcBorders>
              <w:top w:val="single" w:color="auto" w:sz="4" w:space="0"/>
              <w:left w:val="single" w:color="auto" w:sz="4" w:space="0"/>
              <w:bottom w:val="single" w:color="auto" w:sz="4" w:space="0"/>
              <w:right w:val="single" w:color="auto" w:sz="4" w:space="0"/>
            </w:tcBorders>
            <w:tcW w:w="1414" w:type="pct"/>
            <w:textDirection w:val="lrTb"/>
            <w:noWrap w:val="false"/>
          </w:tcPr>
          <w:p>
            <w:pPr>
              <w:jc w:val="center"/>
              <w:spacing w:line="520" w:lineRule="exact"/>
              <w:rPr>
                <w:rFonts w:ascii="宋体" w:hAnsi="宋体" w:cs="宋体"/>
                <w:bCs/>
                <w:szCs w:val="21"/>
              </w:rPr>
            </w:pPr>
            <w:r>
              <w:rPr>
                <w:rFonts w:hint="eastAsia" w:ascii="宋体" w:hAnsi="宋体" w:cs="宋体"/>
                <w:bCs/>
                <w:szCs w:val="21"/>
              </w:rPr>
              <w:t xml:space="preserve">            </w:t>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jc w:val="cente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7" w:type="pct"/>
            <w:textDirection w:val="lrTb"/>
            <w:noWrap w:val="false"/>
          </w:tcPr>
          <w:p>
            <w:pPr>
              <w:jc w:val="center"/>
              <w:spacing w:line="520" w:lineRule="exact"/>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788" w:type="pct"/>
            <w:textDirection w:val="lrTb"/>
            <w:noWrap w:val="false"/>
          </w:tcPr>
          <w:p>
            <w:pPr>
              <w:jc w:val="center"/>
              <w:spacing w:line="520" w:lineRule="exact"/>
              <w:rPr>
                <w:rFonts w:ascii="宋体" w:hAnsi="宋体" w:cs="宋体"/>
                <w:bCs/>
                <w:szCs w:val="21"/>
              </w:rPr>
            </w:pPr>
            <w:r>
              <w:rPr>
                <w:rFonts w:ascii="宋体" w:hAnsi="宋体" w:cs="宋体"/>
                <w:bCs/>
                <w:szCs w:val="21"/>
              </w:rPr>
            </w:r>
            <w:r/>
          </w:p>
        </w:tc>
      </w:tr>
    </w:tbl>
    <w:p>
      <w:pPr>
        <w:jc w:val="left"/>
        <w:spacing w:line="360" w:lineRule="auto"/>
        <w:rPr>
          <w:rFonts w:ascii="宋体" w:hAnsi="宋体" w:cs="宋体"/>
          <w:szCs w:val="21"/>
          <w:u w:val="single"/>
        </w:rPr>
      </w:pPr>
      <w:r>
        <w:rPr>
          <w:rFonts w:ascii="宋体" w:hAnsi="宋体" w:cs="宋体"/>
          <w:szCs w:val="21"/>
          <w:u w:val="single"/>
        </w:rPr>
      </w:r>
      <w:r/>
    </w:p>
    <w:p>
      <w:pPr>
        <w:pStyle w:val="924"/>
        <w:ind w:right="-210"/>
        <w:jc w:val="left"/>
        <w:rPr>
          <w:rFonts w:eastAsia="宋体" w:cs="宋体"/>
          <w:color w:val="000000"/>
          <w:sz w:val="21"/>
          <w:szCs w:val="21"/>
        </w:rPr>
      </w:pPr>
      <w:r>
        <w:rPr>
          <w:rFonts w:hint="eastAsia" w:eastAsia="宋体" w:cs="宋体"/>
          <w:color w:val="000000"/>
          <w:sz w:val="21"/>
          <w:szCs w:val="21"/>
        </w:rPr>
        <w:t xml:space="preserve">投标供应商：（盖章） </w:t>
      </w:r>
      <w:r/>
    </w:p>
    <w:p>
      <w:pPr>
        <w:pStyle w:val="924"/>
        <w:ind w:right="-210"/>
        <w:jc w:val="left"/>
        <w:rPr>
          <w:rFonts w:eastAsia="宋体" w:cs="宋体"/>
          <w:color w:val="000000"/>
          <w:sz w:val="21"/>
          <w:szCs w:val="21"/>
        </w:rPr>
      </w:pPr>
      <w:r>
        <w:rPr>
          <w:rFonts w:hint="eastAsia" w:eastAsia="宋体" w:cs="宋体"/>
          <w:color w:val="000000"/>
          <w:sz w:val="21"/>
          <w:szCs w:val="21"/>
        </w:rPr>
        <w:t xml:space="preserve">日期：    年  月  日</w:t>
      </w:r>
      <w:r/>
    </w:p>
    <w:p>
      <w:pPr>
        <w:pStyle w:val="712"/>
        <w:ind w:firstLine="420"/>
        <w:rPr>
          <w:rFonts w:hint="default" w:hAnsi="宋体" w:cs="宋体"/>
          <w:szCs w:val="21"/>
        </w:rPr>
      </w:pPr>
      <w:r>
        <w:rPr>
          <w:rFonts w:hint="default" w:hAnsi="宋体" w:cs="宋体"/>
          <w:szCs w:val="21"/>
        </w:rPr>
      </w:r>
      <w:r/>
    </w:p>
    <w:p>
      <w:pPr>
        <w:spacing w:line="400" w:lineRule="exact"/>
        <w:tabs>
          <w:tab w:val="left" w:pos="1320" w:leader="none"/>
        </w:tabs>
        <w:rPr>
          <w:rFonts w:ascii="宋体" w:hAnsi="宋体" w:cs="宋体"/>
          <w:b/>
          <w:bCs/>
          <w:szCs w:val="21"/>
        </w:rPr>
      </w:pPr>
      <w:r>
        <w:rPr>
          <w:rFonts w:hint="eastAsia" w:ascii="宋体" w:hAnsi="宋体" w:cs="宋体"/>
          <w:b/>
          <w:bCs/>
          <w:szCs w:val="21"/>
        </w:rPr>
        <w:t xml:space="preserve">注：1、投标折扣率与开标一览表须保持一致。</w:t>
      </w:r>
      <w:r/>
    </w:p>
    <w:p>
      <w:pPr>
        <w:spacing w:line="400" w:lineRule="exact"/>
        <w:tabs>
          <w:tab w:val="left" w:pos="1320" w:leader="none"/>
        </w:tabs>
        <w:rPr>
          <w:rFonts w:ascii="宋体" w:hAnsi="宋体" w:cs="宋体"/>
          <w:b/>
          <w:bCs/>
          <w:szCs w:val="21"/>
        </w:rPr>
      </w:pPr>
      <w:r>
        <w:rPr>
          <w:rFonts w:ascii="宋体" w:hAnsi="宋体" w:cs="宋体"/>
          <w:b/>
          <w:bCs/>
          <w:szCs w:val="21"/>
        </w:rPr>
        <w:t xml:space="preserve">2</w:t>
      </w:r>
      <w:r>
        <w:rPr>
          <w:rFonts w:hint="eastAsia" w:ascii="宋体" w:hAnsi="宋体" w:cs="宋体"/>
          <w:b/>
          <w:bCs/>
          <w:szCs w:val="21"/>
        </w:rPr>
        <w:t xml:space="preserve">、投标综合折扣单价=预算综合单价*投标折扣率。</w:t>
      </w:r>
      <w:r>
        <w:rPr>
          <w:rFonts w:hint="eastAsia" w:hAnsi="宋体" w:cs="宋体"/>
          <w:b/>
          <w:bCs/>
          <w:szCs w:val="21"/>
        </w:rPr>
        <w:t xml:space="preserve">本项目最终结算按实际工程量结算，结算金额</w:t>
      </w:r>
      <w:r>
        <w:rPr>
          <w:rFonts w:hint="eastAsia" w:hAnsi="宋体" w:cs="宋体"/>
          <w:b/>
          <w:bCs/>
          <w:szCs w:val="21"/>
        </w:rPr>
        <w:t xml:space="preserve">=</w:t>
      </w:r>
      <w:r>
        <w:rPr>
          <w:rFonts w:hint="eastAsia" w:hAnsi="宋体" w:cs="宋体"/>
          <w:b/>
          <w:bCs/>
          <w:szCs w:val="21"/>
        </w:rPr>
        <w:t xml:space="preserve">实际工程量</w:t>
      </w:r>
      <w:r>
        <w:rPr>
          <w:rFonts w:hint="eastAsia" w:hAnsi="宋体" w:cs="宋体"/>
          <w:b/>
          <w:bCs/>
          <w:szCs w:val="21"/>
        </w:rPr>
        <w:t xml:space="preserve">*</w:t>
      </w:r>
      <w:r>
        <w:rPr>
          <w:rFonts w:hint="eastAsia" w:hAnsi="宋体" w:cs="宋体"/>
          <w:b/>
          <w:bCs/>
          <w:szCs w:val="21"/>
        </w:rPr>
        <w:t xml:space="preserve">投标综合折扣单价。</w:t>
      </w:r>
      <w:r/>
    </w:p>
    <w:p>
      <w:pPr>
        <w:spacing w:line="400" w:lineRule="exact"/>
        <w:tabs>
          <w:tab w:val="left" w:pos="1320" w:leader="none"/>
        </w:tabs>
        <w:rPr>
          <w:rFonts w:ascii="宋体" w:hAnsi="宋体" w:cs="宋体"/>
          <w:b/>
          <w:bCs/>
          <w:szCs w:val="21"/>
        </w:rPr>
      </w:pPr>
      <w:r>
        <w:rPr>
          <w:rFonts w:ascii="宋体" w:hAnsi="宋体" w:cs="宋体"/>
          <w:b/>
          <w:bCs/>
          <w:szCs w:val="21"/>
        </w:rPr>
        <w:t xml:space="preserve">3</w:t>
      </w:r>
      <w:r>
        <w:rPr>
          <w:rFonts w:hint="eastAsia" w:ascii="宋体" w:hAnsi="宋体" w:cs="宋体"/>
          <w:b/>
          <w:bCs/>
          <w:szCs w:val="21"/>
        </w:rPr>
        <w:t xml:space="preserve">、机械、人工费不与材料单独重复计算。</w:t>
      </w:r>
      <w:r/>
    </w:p>
    <w:p>
      <w:pPr>
        <w:spacing w:line="400" w:lineRule="exact"/>
        <w:tabs>
          <w:tab w:val="left" w:pos="1320" w:leader="none"/>
        </w:tabs>
        <w:rPr>
          <w:rFonts w:ascii="宋体" w:hAnsi="宋体" w:cs="宋体"/>
          <w:b/>
          <w:bCs/>
          <w:szCs w:val="21"/>
        </w:rPr>
      </w:pPr>
      <w:r>
        <w:rPr>
          <w:rFonts w:ascii="宋体" w:hAnsi="宋体" w:cs="宋体"/>
          <w:b/>
          <w:bCs/>
          <w:szCs w:val="21"/>
        </w:rPr>
        <w:t xml:space="preserve">4</w:t>
      </w:r>
      <w:r>
        <w:rPr>
          <w:rFonts w:hint="eastAsia" w:ascii="宋体" w:hAnsi="宋体" w:cs="宋体"/>
          <w:b/>
          <w:bCs/>
          <w:szCs w:val="21"/>
        </w:rPr>
        <w:t xml:space="preserve">、每一子项的综合单价已含：材料费、人工费、机械费、管理费、安全文明施工费、夜间施工费、冬雨季施工费、规费、税金、企业管理费及利润等其他一切费用。</w:t>
      </w:r>
      <w:r/>
    </w:p>
    <w:p>
      <w:pPr>
        <w:spacing w:line="360" w:lineRule="auto"/>
        <w:rPr>
          <w:rFonts w:ascii="宋体" w:hAnsi="宋体" w:cs="宋体"/>
          <w:b/>
          <w:szCs w:val="21"/>
        </w:rPr>
      </w:pPr>
      <w:r>
        <w:rPr>
          <w:rFonts w:ascii="宋体" w:hAnsi="宋体" w:cs="宋体"/>
          <w:b/>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r/>
      <w:r/>
    </w:p>
    <w:p>
      <w:pPr>
        <w:pStyle w:val="701"/>
        <w:rPr>
          <w:rFonts w:ascii="宋体"/>
          <w:bCs w:val="0"/>
          <w:sz w:val="28"/>
          <w:szCs w:val="28"/>
        </w:rPr>
      </w:pPr>
      <w:r/>
      <w:bookmarkStart w:id="56" w:name="_Toc116396558"/>
      <w:r/>
      <w:bookmarkStart w:id="57" w:name="_Ref24653"/>
      <w:r/>
      <w:bookmarkStart w:id="58" w:name="_Toc116396237"/>
      <w:r>
        <w:rPr>
          <w:rFonts w:hint="eastAsia" w:ascii="宋体"/>
          <w:bCs w:val="0"/>
          <w:sz w:val="28"/>
          <w:szCs w:val="28"/>
        </w:rPr>
        <w:t xml:space="preserve">6、人员配置情况表</w:t>
      </w:r>
      <w:bookmarkEnd w:id="56"/>
      <w:r/>
      <w:bookmarkEnd w:id="57"/>
      <w:r/>
      <w:bookmarkEnd w:id="58"/>
      <w:r/>
      <w:r/>
    </w:p>
    <w:p>
      <w:pPr>
        <w:jc w:val="center"/>
        <w:spacing w:before="480" w:after="240"/>
        <w:rPr>
          <w:rFonts w:ascii="宋体" w:hAnsi="宋体"/>
          <w:sz w:val="24"/>
        </w:rPr>
      </w:pPr>
      <w:r>
        <w:rPr>
          <w:rFonts w:hint="eastAsia" w:ascii="宋体" w:hAnsi="宋体"/>
          <w:sz w:val="24"/>
        </w:rPr>
        <w:t xml:space="preserve">人员配置情况表</w:t>
      </w:r>
      <w:r/>
    </w:p>
    <w:tbl>
      <w:tblPr>
        <w:tblW w:w="8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485"/>
        <w:gridCol w:w="708"/>
        <w:gridCol w:w="1059"/>
        <w:gridCol w:w="1530"/>
        <w:gridCol w:w="1920"/>
        <w:gridCol w:w="1110"/>
      </w:tblGrid>
      <w:tr>
        <w:trPr>
          <w:jc w:val="cente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学历</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color w:val="000000"/>
                <w:szCs w:val="21"/>
              </w:rPr>
              <w:t xml:space="preserve">职称</w:t>
            </w:r>
            <w:r>
              <w:rPr>
                <w:rFonts w:hint="eastAsia" w:ascii="宋体" w:hAnsi="宋体"/>
                <w:color w:val="000000"/>
                <w:szCs w:val="21"/>
              </w:rPr>
              <w:t xml:space="preserve">或上岗证</w:t>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59"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20"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pStyle w:val="924"/>
        <w:ind w:right="-210"/>
        <w:jc w:val="left"/>
        <w:rPr>
          <w:rFonts w:eastAsia="宋体"/>
          <w:color w:val="000000"/>
          <w:sz w:val="21"/>
          <w:szCs w:val="21"/>
        </w:rPr>
      </w:pPr>
      <w:r>
        <w:rPr>
          <w:rFonts w:eastAsia="宋体"/>
          <w:color w:val="000000"/>
          <w:sz w:val="21"/>
          <w:szCs w:val="21"/>
        </w:rPr>
      </w:r>
      <w:r/>
    </w:p>
    <w:p>
      <w:pPr>
        <w:pStyle w:val="924"/>
        <w:ind w:right="-210"/>
        <w:jc w:val="left"/>
        <w:rPr>
          <w:rFonts w:eastAsia="宋体"/>
          <w:color w:val="000000"/>
          <w:sz w:val="21"/>
          <w:szCs w:val="21"/>
        </w:rPr>
      </w:pPr>
      <w:r>
        <w:rPr>
          <w:rFonts w:eastAsia="宋体"/>
          <w:color w:val="000000"/>
          <w:sz w:val="21"/>
          <w:szCs w:val="21"/>
        </w:rPr>
        <w:t xml:space="preserve">投标</w:t>
      </w:r>
      <w:r>
        <w:rPr>
          <w:rFonts w:hint="eastAsia" w:eastAsia="宋体"/>
          <w:color w:val="000000"/>
          <w:sz w:val="21"/>
          <w:szCs w:val="21"/>
        </w:rPr>
        <w:t xml:space="preserve">供应商</w:t>
      </w:r>
      <w:r>
        <w:rPr>
          <w:rFonts w:eastAsia="宋体"/>
          <w:color w:val="000000"/>
          <w:sz w:val="21"/>
          <w:szCs w:val="21"/>
        </w:rPr>
        <w:t xml:space="preserve">：（</w:t>
      </w:r>
      <w:r>
        <w:rPr>
          <w:rFonts w:hint="eastAsia" w:eastAsia="宋体"/>
          <w:color w:val="000000"/>
          <w:sz w:val="21"/>
          <w:szCs w:val="21"/>
        </w:rPr>
        <w:t xml:space="preserve">盖</w:t>
      </w:r>
      <w:r>
        <w:rPr>
          <w:rFonts w:eastAsia="宋体"/>
          <w:color w:val="000000"/>
          <w:sz w:val="21"/>
          <w:szCs w:val="21"/>
        </w:rPr>
        <w:t xml:space="preserve">章）</w:t>
      </w:r>
      <w:r/>
    </w:p>
    <w:p>
      <w:pPr>
        <w:pStyle w:val="924"/>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注：请按以上格式填写，</w:t>
      </w:r>
      <w:r>
        <w:rPr>
          <w:rFonts w:hint="eastAsia"/>
          <w:szCs w:val="21"/>
        </w:rPr>
        <w:t xml:space="preserve">本页不够可另加页附后</w:t>
      </w:r>
      <w:r>
        <w:rPr>
          <w:rFonts w:hint="eastAsia" w:ascii="宋体" w:hAnsi="宋体"/>
          <w:szCs w:val="21"/>
        </w:rPr>
        <w:t xml:space="preserve">。</w:t>
      </w:r>
      <w:r/>
    </w:p>
    <w:p>
      <w:pPr>
        <w:rPr>
          <w:szCs w:val="21"/>
        </w:rPr>
      </w:pPr>
      <w:r>
        <w:rPr>
          <w:szCs w:val="21"/>
        </w:rPr>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01"/>
        <w:rPr>
          <w:sz w:val="28"/>
          <w:szCs w:val="28"/>
        </w:rPr>
      </w:pPr>
      <w:r/>
      <w:bookmarkStart w:id="59" w:name="_Ref181085714"/>
      <w:r>
        <w:rPr>
          <w:sz w:val="28"/>
          <w:szCs w:val="28"/>
        </w:rPr>
        <w:t xml:space="preserve">7</w:t>
      </w:r>
      <w:r>
        <w:rPr>
          <w:sz w:val="28"/>
          <w:szCs w:val="28"/>
        </w:rPr>
        <w:t xml:space="preserve">、</w:t>
      </w:r>
      <w:r>
        <w:rPr>
          <w:rFonts w:hint="eastAsia"/>
          <w:sz w:val="28"/>
          <w:szCs w:val="28"/>
        </w:rPr>
        <w:t xml:space="preserve">拟投入设施设备一览表</w:t>
      </w:r>
      <w:bookmarkEnd w:id="59"/>
      <w:r/>
      <w:r/>
    </w:p>
    <w:p>
      <w:pPr>
        <w:jc w:val="center"/>
        <w:spacing w:line="360" w:lineRule="auto"/>
        <w:rPr>
          <w:rFonts w:ascii="宋体" w:hAnsi="宋体" w:cs="宋体"/>
          <w:b/>
          <w:bCs/>
          <w:color w:val="000000"/>
          <w:szCs w:val="21"/>
        </w:rPr>
      </w:pPr>
      <w:r>
        <w:rPr>
          <w:rFonts w:hint="eastAsia" w:ascii="宋体" w:hAnsi="宋体" w:cs="宋体"/>
          <w:b/>
          <w:bCs/>
          <w:color w:val="000000"/>
          <w:szCs w:val="21"/>
          <w:lang w:val="zh-CN"/>
        </w:rPr>
        <w:t xml:space="preserve">拟投入设施设备</w:t>
      </w:r>
      <w:r>
        <w:rPr>
          <w:rFonts w:hint="eastAsia" w:ascii="宋体" w:hAnsi="宋体" w:cs="宋体"/>
          <w:b/>
          <w:bCs/>
          <w:color w:val="000000"/>
          <w:szCs w:val="21"/>
        </w:rPr>
        <w:t xml:space="preserve">一览表</w:t>
      </w:r>
      <w:r/>
    </w:p>
    <w:tbl>
      <w:tblPr>
        <w:tblW w:w="823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09"/>
        <w:gridCol w:w="1227"/>
        <w:gridCol w:w="2611"/>
        <w:gridCol w:w="1134"/>
        <w:gridCol w:w="1134"/>
        <w:gridCol w:w="1418"/>
      </w:tblGrid>
      <w:tr>
        <w:trPr>
          <w:cantSplit/>
          <w:jc w:val="center"/>
          <w:trHeight w:val="567"/>
        </w:trPr>
        <w:tc>
          <w:tcPr>
            <w:tcW w:w="709" w:type="dxa"/>
            <w:vAlign w:val="center"/>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序号</w:t>
            </w:r>
            <w:r/>
          </w:p>
        </w:tc>
        <w:tc>
          <w:tcPr>
            <w:tcW w:w="1227" w:type="dxa"/>
            <w:vAlign w:val="center"/>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名称</w:t>
            </w:r>
            <w:r/>
          </w:p>
        </w:tc>
        <w:tc>
          <w:tcPr>
            <w:tcW w:w="2611" w:type="dxa"/>
            <w:vAlign w:val="center"/>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品牌型号</w:t>
            </w:r>
            <w:r/>
          </w:p>
        </w:tc>
        <w:tc>
          <w:tcPr>
            <w:tcW w:w="1134" w:type="dxa"/>
            <w:vAlign w:val="center"/>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数量</w:t>
            </w:r>
            <w:r/>
          </w:p>
        </w:tc>
        <w:tc>
          <w:tcPr>
            <w:tcW w:w="1134" w:type="dxa"/>
            <w:vAlign w:val="center"/>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单位</w:t>
            </w:r>
            <w:r/>
          </w:p>
        </w:tc>
        <w:tc>
          <w:tcPr>
            <w:tcW w:w="1418" w:type="dxa"/>
            <w:vAlign w:val="center"/>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备注</w:t>
            </w:r>
            <w:r/>
          </w:p>
        </w:tc>
      </w:tr>
      <w:tr>
        <w:trPr>
          <w:cantSplit/>
          <w:jc w:val="center"/>
          <w:trHeight w:val="567"/>
        </w:trPr>
        <w:tc>
          <w:tcPr>
            <w:tcW w:w="709" w:type="dxa"/>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1</w:t>
            </w:r>
            <w:r/>
          </w:p>
        </w:tc>
        <w:tc>
          <w:tcPr>
            <w:tcW w:w="1227"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2611"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134"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134"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418"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09" w:type="dxa"/>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2</w:t>
            </w:r>
            <w:r/>
          </w:p>
        </w:tc>
        <w:tc>
          <w:tcPr>
            <w:tcW w:w="1227"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2611"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134"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134"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418"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r>
      <w:tr>
        <w:trPr>
          <w:cantSplit/>
          <w:jc w:val="center"/>
          <w:trHeight w:val="567"/>
        </w:trPr>
        <w:tc>
          <w:tcPr>
            <w:tcW w:w="709" w:type="dxa"/>
            <w:textDirection w:val="lrTb"/>
            <w:noWrap w:val="false"/>
          </w:tcPr>
          <w:p>
            <w:pPr>
              <w:pStyle w:val="946"/>
              <w:jc w:val="center"/>
              <w:rPr>
                <w:rFonts w:hAnsi="宋体" w:eastAsia="宋体" w:cs="宋体"/>
                <w:color w:val="000000"/>
                <w:sz w:val="21"/>
                <w:szCs w:val="21"/>
              </w:rPr>
            </w:pPr>
            <w:r>
              <w:rPr>
                <w:rFonts w:hint="eastAsia" w:hAnsi="宋体" w:eastAsia="宋体" w:cs="宋体"/>
                <w:color w:val="000000"/>
                <w:sz w:val="21"/>
                <w:szCs w:val="21"/>
              </w:rPr>
              <w:t xml:space="preserve">...</w:t>
            </w:r>
            <w:r/>
          </w:p>
        </w:tc>
        <w:tc>
          <w:tcPr>
            <w:tcW w:w="1227"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2611"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134"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134"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c>
          <w:tcPr>
            <w:tcW w:w="1418" w:type="dxa"/>
            <w:textDirection w:val="lrTb"/>
            <w:noWrap w:val="false"/>
          </w:tcPr>
          <w:p>
            <w:pPr>
              <w:pStyle w:val="946"/>
              <w:jc w:val="center"/>
              <w:rPr>
                <w:rFonts w:hAnsi="宋体" w:eastAsia="宋体" w:cs="宋体"/>
                <w:color w:val="000000"/>
                <w:sz w:val="21"/>
                <w:szCs w:val="21"/>
              </w:rPr>
            </w:pPr>
            <w:r>
              <w:rPr>
                <w:rFonts w:hAnsi="宋体" w:eastAsia="宋体" w:cs="宋体"/>
                <w:color w:val="000000"/>
                <w:sz w:val="21"/>
                <w:szCs w:val="21"/>
              </w:rPr>
            </w:r>
            <w:r/>
          </w:p>
        </w:tc>
      </w:tr>
    </w:tbl>
    <w:p>
      <w:pPr>
        <w:pStyle w:val="946"/>
        <w:spacing w:line="360" w:lineRule="auto"/>
        <w:rPr>
          <w:rFonts w:hAnsi="宋体" w:eastAsia="宋体" w:cs="宋体"/>
          <w:color w:val="000000"/>
          <w:sz w:val="21"/>
          <w:szCs w:val="21"/>
        </w:rPr>
      </w:pPr>
      <w:r>
        <w:rPr>
          <w:rFonts w:hAnsi="宋体" w:eastAsia="宋体" w:cs="宋体"/>
          <w:color w:val="000000"/>
          <w:sz w:val="21"/>
          <w:szCs w:val="21"/>
        </w:rPr>
      </w:r>
      <w:r/>
    </w:p>
    <w:p>
      <w:pPr>
        <w:pStyle w:val="946"/>
        <w:spacing w:line="360" w:lineRule="auto"/>
        <w:rPr>
          <w:rFonts w:hAnsi="宋体" w:eastAsia="宋体" w:cs="宋体"/>
          <w:color w:val="000000"/>
          <w:sz w:val="21"/>
          <w:szCs w:val="21"/>
        </w:rPr>
      </w:pPr>
      <w:r>
        <w:rPr>
          <w:rFonts w:hAnsi="宋体" w:eastAsia="宋体" w:cs="宋体"/>
          <w:color w:val="000000"/>
          <w:sz w:val="21"/>
          <w:szCs w:val="21"/>
        </w:rPr>
      </w:r>
      <w:r/>
    </w:p>
    <w:p>
      <w:pPr>
        <w:pStyle w:val="946"/>
        <w:spacing w:line="360" w:lineRule="auto"/>
        <w:rPr>
          <w:rFonts w:hAnsi="宋体" w:eastAsia="宋体" w:cs="宋体"/>
          <w:color w:val="000000"/>
          <w:sz w:val="21"/>
          <w:szCs w:val="21"/>
        </w:rPr>
      </w:pPr>
      <w:r>
        <w:rPr>
          <w:rFonts w:hAnsi="宋体" w:eastAsia="宋体" w:cs="宋体"/>
          <w:color w:val="000000"/>
          <w:sz w:val="21"/>
          <w:szCs w:val="21"/>
        </w:rPr>
      </w:r>
      <w:r/>
    </w:p>
    <w:p>
      <w:pPr>
        <w:pStyle w:val="928"/>
        <w:ind w:firstLine="405"/>
        <w:spacing w:line="360" w:lineRule="auto"/>
        <w:rPr>
          <w:rFonts w:hAnsi="宋体" w:eastAsia="宋体" w:cs="宋体"/>
          <w:sz w:val="21"/>
          <w:szCs w:val="21"/>
        </w:rPr>
      </w:pPr>
      <w:r>
        <w:rPr>
          <w:rFonts w:hint="eastAsia" w:hAnsi="宋体" w:eastAsia="宋体" w:cs="宋体"/>
          <w:color w:val="000000"/>
          <w:sz w:val="21"/>
          <w:szCs w:val="21"/>
        </w:rPr>
        <w:t xml:space="preserve">投标供应商：（盖章）</w:t>
      </w:r>
      <w:r/>
    </w:p>
    <w:p>
      <w:pPr>
        <w:pStyle w:val="716"/>
        <w:jc w:val="both"/>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pPr>
        <w:pStyle w:val="712"/>
        <w:ind w:firstLine="420"/>
        <w:rPr>
          <w:rFonts w:hint="default"/>
        </w:rPr>
      </w:pPr>
      <w:r>
        <w:rPr>
          <w:rFonts w:hint="default"/>
        </w:rPr>
      </w:r>
      <w:r/>
    </w:p>
    <w:p>
      <w:r/>
      <w:r/>
    </w:p>
    <w:p>
      <w:pPr>
        <w:pStyle w:val="701"/>
        <w:rPr>
          <w:rFonts w:ascii="宋体"/>
          <w:bCs w:val="0"/>
          <w:sz w:val="28"/>
          <w:szCs w:val="28"/>
        </w:rPr>
      </w:pPr>
      <w:r/>
      <w:bookmarkStart w:id="60" w:name="_Toc62460938"/>
      <w:r/>
      <w:bookmarkStart w:id="61" w:name="_Toc116396559"/>
      <w:r/>
      <w:bookmarkStart w:id="62" w:name="_Toc116396238"/>
      <w:r/>
      <w:bookmarkStart w:id="63" w:name="_Ref382393081"/>
      <w:r>
        <w:rPr>
          <w:rFonts w:hint="eastAsia" w:ascii="宋体"/>
          <w:bCs w:val="0"/>
          <w:sz w:val="28"/>
          <w:szCs w:val="28"/>
        </w:rPr>
        <w:t xml:space="preserve">8、类似业绩一览表</w:t>
      </w:r>
      <w:bookmarkEnd w:id="60"/>
      <w:r/>
      <w:bookmarkEnd w:id="61"/>
      <w:r/>
      <w:bookmarkEnd w:id="62"/>
      <w:r/>
      <w:bookmarkEnd w:id="63"/>
      <w:r/>
      <w:r/>
    </w:p>
    <w:p>
      <w:pPr>
        <w:jc w:val="center"/>
        <w:spacing w:before="480" w:after="240"/>
        <w:rPr>
          <w:bCs/>
          <w:sz w:val="24"/>
        </w:rPr>
      </w:pPr>
      <w:r>
        <w:rPr>
          <w:rFonts w:hint="eastAsia" w:ascii="宋体"/>
          <w:bCs/>
          <w:sz w:val="24"/>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宋体" w:hAnsi="宋体"/>
                <w:szCs w:val="21"/>
              </w:rPr>
            </w:pPr>
            <w:r>
              <w:rPr>
                <w:rFonts w:ascii="宋体" w:hAnsi="宋体"/>
                <w:szCs w:val="21"/>
              </w:rPr>
            </w:r>
            <w:r/>
          </w:p>
        </w:tc>
      </w:tr>
    </w:tbl>
    <w:p>
      <w:pPr>
        <w:pStyle w:val="924"/>
        <w:ind w:right="-210"/>
        <w:jc w:val="left"/>
        <w:rPr>
          <w:rFonts w:eastAsia="宋体"/>
          <w:color w:val="000000"/>
          <w:sz w:val="21"/>
          <w:szCs w:val="21"/>
        </w:rPr>
      </w:pPr>
      <w:r>
        <w:rPr>
          <w:rFonts w:eastAsia="宋体"/>
          <w:color w:val="000000"/>
          <w:sz w:val="21"/>
          <w:szCs w:val="21"/>
        </w:rPr>
      </w:r>
      <w:r/>
    </w:p>
    <w:p>
      <w:pPr>
        <w:pStyle w:val="924"/>
        <w:ind w:right="-210"/>
        <w:jc w:val="left"/>
        <w:rPr>
          <w:rFonts w:eastAsia="宋体"/>
          <w:color w:val="000000"/>
          <w:sz w:val="21"/>
          <w:szCs w:val="21"/>
        </w:rPr>
      </w:pPr>
      <w:r>
        <w:rPr>
          <w:rFonts w:eastAsia="宋体"/>
          <w:color w:val="000000"/>
          <w:sz w:val="21"/>
          <w:szCs w:val="21"/>
        </w:rPr>
        <w:t xml:space="preserve">投标</w:t>
      </w:r>
      <w:r>
        <w:rPr>
          <w:rFonts w:hint="eastAsia" w:eastAsia="宋体"/>
          <w:color w:val="000000"/>
          <w:sz w:val="21"/>
          <w:szCs w:val="21"/>
        </w:rPr>
        <w:t xml:space="preserve">供应商</w:t>
      </w:r>
      <w:r>
        <w:rPr>
          <w:rFonts w:eastAsia="宋体"/>
          <w:color w:val="000000"/>
          <w:sz w:val="21"/>
          <w:szCs w:val="21"/>
        </w:rPr>
        <w:t xml:space="preserve">：（</w:t>
      </w:r>
      <w:r>
        <w:rPr>
          <w:rFonts w:hint="eastAsia" w:eastAsia="宋体"/>
          <w:color w:val="000000"/>
          <w:sz w:val="21"/>
          <w:szCs w:val="21"/>
        </w:rPr>
        <w:t xml:space="preserve">盖</w:t>
      </w:r>
      <w:r>
        <w:rPr>
          <w:rFonts w:eastAsia="宋体"/>
          <w:color w:val="000000"/>
          <w:sz w:val="21"/>
          <w:szCs w:val="21"/>
        </w:rPr>
        <w:t xml:space="preserve">章）</w:t>
      </w:r>
      <w:r/>
    </w:p>
    <w:p>
      <w:pPr>
        <w:pStyle w:val="924"/>
        <w:ind w:right="-210"/>
        <w:jc w:val="left"/>
        <w:rPr>
          <w:rFonts w:eastAsia="宋体"/>
          <w:color w:val="000000"/>
          <w:sz w:val="21"/>
          <w:szCs w:val="21"/>
        </w:rPr>
      </w:pPr>
      <w:r>
        <w:rPr>
          <w:rFonts w:eastAsia="宋体"/>
          <w:color w:val="000000"/>
          <w:sz w:val="21"/>
          <w:szCs w:val="21"/>
        </w:rPr>
        <w:t xml:space="preserve">日期：    年  月  日</w:t>
      </w:r>
      <w:r/>
    </w:p>
    <w:p>
      <w:pPr>
        <w:pStyle w:val="720"/>
        <w:rPr>
          <w:sz w:val="21"/>
          <w:szCs w:val="21"/>
        </w:rPr>
      </w:pPr>
      <w:r>
        <w:rPr>
          <w:sz w:val="21"/>
          <w:szCs w:val="21"/>
        </w:rPr>
      </w:r>
      <w:r/>
    </w:p>
    <w:p>
      <w:pPr>
        <w:pStyle w:val="720"/>
        <w:rPr>
          <w:sz w:val="21"/>
          <w:szCs w:val="21"/>
        </w:rPr>
      </w:pPr>
      <w:r>
        <w:rPr>
          <w:sz w:val="21"/>
          <w:szCs w:val="21"/>
        </w:rPr>
      </w:r>
      <w:r/>
    </w:p>
    <w:p>
      <w:pPr>
        <w:spacing w:line="400" w:lineRule="exact"/>
        <w:rPr>
          <w:rFonts w:ascii="宋体" w:hAnsi="宋体"/>
          <w:szCs w:val="21"/>
        </w:rPr>
      </w:pPr>
      <w:r>
        <w:rPr>
          <w:rFonts w:hint="eastAsia" w:ascii="宋体" w:hAnsi="宋体"/>
          <w:szCs w:val="21"/>
        </w:rPr>
        <w:t xml:space="preserve">注：请按以上格式填写，</w:t>
      </w:r>
      <w:r>
        <w:rPr>
          <w:rFonts w:hint="eastAsia"/>
          <w:szCs w:val="21"/>
        </w:rPr>
        <w:t xml:space="preserve">本页不够可另加页附后</w:t>
      </w:r>
      <w:r>
        <w:rPr>
          <w:rFonts w:hint="eastAsia" w:ascii="宋体" w:hAnsi="宋体"/>
          <w:szCs w:val="21"/>
        </w:rPr>
        <w:t xml:space="preserve">。</w:t>
      </w:r>
      <w:r/>
    </w:p>
    <w:p>
      <w:pPr>
        <w:rPr>
          <w:szCs w:val="21"/>
        </w:rPr>
      </w:pPr>
      <w:r>
        <w:rPr>
          <w:szCs w:val="21"/>
        </w:rPr>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64" w:name="_Ref24731"/>
      <w:r/>
      <w:bookmarkStart w:id="65" w:name="_Ref363807960"/>
      <w:r/>
      <w:bookmarkStart w:id="66" w:name="_Toc62466449"/>
      <w:r/>
      <w:r/>
    </w:p>
    <w:p>
      <w:pPr>
        <w:pStyle w:val="701"/>
        <w:rPr>
          <w:rFonts w:ascii="宋体"/>
          <w:bCs w:val="0"/>
          <w:sz w:val="28"/>
          <w:szCs w:val="28"/>
        </w:rPr>
      </w:pPr>
      <w:r/>
      <w:bookmarkStart w:id="67" w:name="_Toc116396239"/>
      <w:r/>
      <w:bookmarkStart w:id="68" w:name="_Ref116369662"/>
      <w:r/>
      <w:bookmarkStart w:id="69" w:name="_Toc116396560"/>
      <w:r/>
      <w:bookmarkStart w:id="70" w:name="_Ref29636"/>
      <w:r>
        <w:rPr>
          <w:rFonts w:hint="eastAsia" w:ascii="宋体"/>
          <w:bCs w:val="0"/>
          <w:sz w:val="28"/>
          <w:szCs w:val="28"/>
        </w:rPr>
        <w:t xml:space="preserve">9、偏离表</w:t>
      </w:r>
      <w:bookmarkEnd w:id="64"/>
      <w:r/>
      <w:bookmarkEnd w:id="65"/>
      <w:r/>
      <w:bookmarkEnd w:id="66"/>
      <w:r/>
      <w:bookmarkEnd w:id="67"/>
      <w:r/>
      <w:bookmarkEnd w:id="68"/>
      <w:r/>
      <w:bookmarkEnd w:id="69"/>
      <w:r/>
      <w:bookmarkEnd w:id="70"/>
      <w:r/>
      <w:r/>
    </w:p>
    <w:p>
      <w:pPr>
        <w:jc w:val="center"/>
        <w:rPr>
          <w:rFonts w:ascii="宋体" w:hAnsi="宋体" w:cs="宋体"/>
          <w:b/>
          <w:bCs/>
          <w:sz w:val="24"/>
        </w:rPr>
      </w:pPr>
      <w:r/>
      <w:bookmarkStart w:id="71" w:name="_Ref103253956"/>
      <w:r>
        <w:rPr>
          <w:rFonts w:hint="eastAsia" w:ascii="宋体" w:hAnsi="宋体" w:cs="宋体"/>
          <w:b/>
          <w:bCs/>
          <w:sz w:val="24"/>
        </w:rPr>
        <w:t xml:space="preserve">偏离表</w:t>
      </w:r>
      <w:r/>
    </w:p>
    <w:p>
      <w:pPr>
        <w:ind w:firstLine="482"/>
        <w:rPr>
          <w:rFonts w:ascii="宋体" w:hAnsi="宋体" w:cs="宋体"/>
          <w:b/>
          <w:sz w:val="24"/>
        </w:rPr>
      </w:pPr>
      <w:r>
        <w:rPr>
          <w:rFonts w:ascii="宋体" w:hAnsi="宋体" w:cs="宋体"/>
          <w:b/>
          <w:sz w:val="24"/>
        </w:rPr>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78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p>
        </w:tc>
        <w:tc>
          <w:tcPr>
            <w:tcW w:w="261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p>
        </w:tc>
        <w:tc>
          <w:tcPr>
            <w:tcW w:w="1334"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偏离说明</w:t>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服务时间</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付款方式</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52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b/>
          <w:color w:val="000000"/>
          <w:szCs w:val="21"/>
        </w:rPr>
      </w:pPr>
      <w:r>
        <w:rPr>
          <w:rFonts w:hint="eastAsia" w:ascii="宋体" w:hAnsi="宋体" w:cs="宋体"/>
          <w:b/>
          <w:bCs/>
          <w:szCs w:val="21"/>
        </w:rPr>
        <w:t xml:space="preserve">注：</w:t>
      </w:r>
      <w:r>
        <w:rPr>
          <w:rFonts w:hint="eastAsia" w:ascii="宋体" w:hAnsi="宋体"/>
          <w:b/>
          <w:color w:val="000000"/>
          <w:szCs w:val="21"/>
        </w:rPr>
        <w:t xml:space="preserve">供应商须在偏离表中如实填写偏离情况，如有要求提供材料的，须按要求提供相应材料。偏离表未填写、负偏离、未提供所要求的材料的，将被视为无效投标注。</w:t>
      </w:r>
      <w:r/>
    </w:p>
    <w:p>
      <w:pPr>
        <w:pStyle w:val="712"/>
        <w:rPr>
          <w:rFonts w:hint="default"/>
        </w:rPr>
      </w:pPr>
      <w:r>
        <w:rPr>
          <w:rFonts w:hint="default"/>
        </w:rPr>
      </w:r>
      <w:r/>
    </w:p>
    <w:p>
      <w:pPr>
        <w:pStyle w:val="712"/>
        <w:ind w:firstLine="420"/>
        <w:rPr>
          <w:rFonts w:hint="default"/>
          <w:szCs w:val="21"/>
        </w:rPr>
      </w:pPr>
      <w:r>
        <w:rPr>
          <w:rFonts w:hint="default"/>
          <w:szCs w:val="21"/>
        </w:rPr>
      </w:r>
      <w:r/>
    </w:p>
    <w:p>
      <w:pPr>
        <w:rPr>
          <w:szCs w:val="21"/>
        </w:rPr>
      </w:pPr>
      <w:r>
        <w:rPr>
          <w:szCs w:val="21"/>
        </w:rPr>
      </w:r>
      <w:r/>
    </w:p>
    <w:p>
      <w:pPr>
        <w:ind w:left="5880" w:firstLine="420"/>
        <w:jc w:val="center"/>
        <w:spacing w:line="360" w:lineRule="auto"/>
        <w:rPr>
          <w:rFonts w:ascii="宋体" w:hAnsi="宋体" w:cs="宋体"/>
          <w:szCs w:val="21"/>
        </w:rPr>
      </w:pPr>
      <w:r>
        <w:rPr>
          <w:rFonts w:hint="eastAsia" w:ascii="宋体" w:hAnsi="宋体" w:cs="宋体"/>
          <w:szCs w:val="21"/>
        </w:rPr>
        <w:t xml:space="preserve">投标供应商：（盖章）</w:t>
      </w:r>
      <w:r/>
    </w:p>
    <w:p>
      <w:pPr>
        <w:jc w:val="right"/>
        <w:spacing w:line="400" w:lineRule="exact"/>
        <w:rPr>
          <w:rFonts w:ascii="宋体" w:hAnsi="宋体" w:cs="宋体"/>
          <w:sz w:val="24"/>
        </w:rPr>
      </w:pPr>
      <w:r>
        <w:rPr>
          <w:rFonts w:hint="eastAsia" w:ascii="宋体" w:hAnsi="宋体" w:cs="宋体"/>
          <w:szCs w:val="21"/>
        </w:rPr>
        <w:t xml:space="preserve">日期：     年   月   日</w:t>
      </w:r>
      <w:r/>
    </w:p>
    <w:p>
      <w:pPr>
        <w:pStyle w:val="712"/>
        <w:ind w:firstLine="0"/>
        <w:rPr>
          <w:rFonts w:hint="default"/>
        </w:rPr>
      </w:pPr>
      <w:r>
        <w:rPr>
          <w:rFonts w:hint="default"/>
        </w:rPr>
      </w:r>
      <w:r/>
    </w:p>
    <w:p>
      <w:r/>
      <w:r/>
    </w:p>
    <w:p>
      <w:pPr>
        <w:pStyle w:val="712"/>
        <w:ind w:firstLine="420"/>
        <w:rPr>
          <w:rFonts w:hint="default"/>
        </w:rPr>
      </w:pPr>
      <w:r>
        <w:rPr>
          <w:rFonts w:hint="default"/>
        </w:rPr>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r/>
      <w:r/>
    </w:p>
    <w:p>
      <w:r/>
      <w:r/>
    </w:p>
    <w:p>
      <w:r/>
      <w:r/>
    </w:p>
    <w:p>
      <w:r/>
      <w:r/>
    </w:p>
    <w:p>
      <w:r/>
      <w:r/>
    </w:p>
    <w:p>
      <w:r/>
      <w:r/>
    </w:p>
    <w:p>
      <w:r/>
      <w:r/>
    </w:p>
    <w:p>
      <w:pPr>
        <w:pStyle w:val="701"/>
        <w:rPr>
          <w:rFonts w:ascii="宋体"/>
          <w:bCs w:val="0"/>
          <w:sz w:val="28"/>
          <w:szCs w:val="28"/>
        </w:rPr>
      </w:pPr>
      <w:r/>
      <w:bookmarkStart w:id="72" w:name="_Toc116396240"/>
      <w:r/>
      <w:bookmarkStart w:id="73" w:name="_Toc116396561"/>
      <w:r/>
      <w:bookmarkStart w:id="74" w:name="_Ref116369626"/>
      <w:r>
        <w:rPr>
          <w:rFonts w:hint="eastAsia" w:ascii="宋体"/>
          <w:bCs w:val="0"/>
          <w:sz w:val="28"/>
          <w:szCs w:val="28"/>
        </w:rPr>
        <w:t xml:space="preserve">10、中小企业声明函</w:t>
      </w:r>
      <w:bookmarkEnd w:id="71"/>
      <w:r/>
      <w:bookmarkEnd w:id="72"/>
      <w:r/>
      <w:bookmarkEnd w:id="73"/>
      <w:r/>
      <w:bookmarkEnd w:id="74"/>
      <w:r/>
      <w:r/>
    </w:p>
    <w:p>
      <w:pPr>
        <w:jc w:val="center"/>
        <w:spacing w:line="580" w:lineRule="exact"/>
        <w:rPr>
          <w:rFonts w:ascii="宋体" w:hAnsi="宋体"/>
          <w:b/>
          <w:bCs/>
          <w:sz w:val="24"/>
        </w:rPr>
      </w:pPr>
      <w:r>
        <w:rPr>
          <w:rFonts w:hint="eastAsia" w:ascii="宋体"/>
          <w:spacing w:val="6"/>
          <w:sz w:val="24"/>
        </w:rPr>
        <w:t xml:space="preserve">中小企业声明函</w:t>
      </w:r>
      <w:r/>
    </w:p>
    <w:p>
      <w:pPr>
        <w:pStyle w:val="930"/>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30"/>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28"/>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28"/>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1.从业人员、营业收入、资产总额填报上一年度数据，无上一年度数据的新成立企业可不填报；</w:t>
      </w:r>
      <w:r/>
    </w:p>
    <w:p>
      <w:pPr>
        <w:pStyle w:val="928"/>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2.本次采购项目所属行业为</w:t>
      </w:r>
      <w:r>
        <w:rPr>
          <w:rFonts w:hint="eastAsia" w:hAnsi="宋体" w:eastAsia="宋体" w:cs="宋体"/>
          <w:b/>
          <w:bCs/>
          <w:sz w:val="21"/>
          <w:szCs w:val="21"/>
          <w:u w:val="single"/>
        </w:rPr>
        <w:t xml:space="preserve">其他未列明行业</w:t>
      </w:r>
      <w:r>
        <w:rPr>
          <w:rFonts w:hint="eastAsia" w:hAnsi="宋体" w:eastAsia="宋体" w:cs="宋体"/>
          <w:b/>
          <w:bCs/>
          <w:sz w:val="21"/>
          <w:szCs w:val="21"/>
        </w:rPr>
        <w:t xml:space="preserve">。中小微企业划型标准请根据《中小企业划型标准规定》（工信部联企业〔2011〕300号）。投标人提供的承诺函须按本项目规定行业填写，否则其声明函不予认可。</w:t>
      </w:r>
      <w:r/>
    </w:p>
    <w:p>
      <w:pPr>
        <w:pStyle w:val="928"/>
        <w:ind w:firstLine="843"/>
        <w:spacing w:line="360" w:lineRule="auto"/>
        <w:rPr>
          <w:rFonts w:hAnsi="宋体" w:eastAsia="宋体" w:cs="宋体"/>
          <w:b/>
          <w:bCs/>
          <w:sz w:val="21"/>
          <w:szCs w:val="21"/>
        </w:rPr>
      </w:pPr>
      <w:r>
        <w:rPr>
          <w:rFonts w:hint="eastAsia" w:hAnsi="宋体" w:eastAsia="宋体" w:cs="宋体"/>
          <w:b/>
          <w:bCs/>
          <w:sz w:val="21"/>
          <w:szCs w:val="21"/>
        </w:rPr>
        <w:t xml:space="preserve">3.根据《政府采购促进中小企业发展管理办法》（财库[2020]46号）的相关规定，本项目专门面向中小企业采购，项目承接单位必须为符合政策要求的中小企业，否则为无效标。</w:t>
      </w:r>
      <w:r/>
    </w:p>
    <w:p>
      <w:pPr>
        <w:pStyle w:val="928"/>
        <w:ind w:firstLine="422"/>
        <w:spacing w:line="360" w:lineRule="auto"/>
        <w:rPr>
          <w:rFonts w:hAnsi="宋体" w:eastAsia="宋体" w:cs="宋体"/>
          <w:b/>
          <w:bCs/>
          <w:sz w:val="21"/>
          <w:szCs w:val="21"/>
        </w:rPr>
      </w:pPr>
      <w:r>
        <w:rPr>
          <w:rFonts w:hAnsi="宋体" w:eastAsia="宋体" w:cs="宋体"/>
          <w:b/>
          <w:bCs/>
          <w:sz w:val="21"/>
          <w:szCs w:val="21"/>
        </w:rPr>
      </w:r>
      <w:r/>
    </w:p>
    <w:p>
      <w:pPr>
        <w:pStyle w:val="928"/>
        <w:spacing w:line="360" w:lineRule="auto"/>
        <w:rPr>
          <w:rFonts w:hAnsi="宋体" w:eastAsia="宋体" w:cs="宋体"/>
          <w:color w:val="000000"/>
          <w:sz w:val="21"/>
          <w:szCs w:val="21"/>
        </w:rPr>
      </w:pPr>
      <w:r>
        <w:rPr>
          <w:rFonts w:hAnsi="宋体" w:eastAsia="宋体" w:cs="宋体"/>
          <w:color w:val="000000"/>
          <w:sz w:val="21"/>
          <w:szCs w:val="21"/>
        </w:rPr>
      </w:r>
      <w:r/>
    </w:p>
    <w:p>
      <w:pPr>
        <w:pStyle w:val="928"/>
        <w:ind w:left="5460" w:firstLine="840"/>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投标供应商：（盖章）</w:t>
      </w:r>
      <w:r/>
    </w:p>
    <w:p>
      <w:pPr>
        <w:pStyle w:val="716"/>
        <w:ind w:left="5880"/>
        <w:jc w:val="both"/>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712"/>
        <w:ind w:firstLine="420"/>
        <w:rPr>
          <w:rFonts w:hint="default"/>
        </w:rPr>
      </w:pPr>
      <w:r>
        <w:rPr>
          <w:rFonts w:hint="default"/>
        </w:rPr>
      </w:r>
      <w:r/>
    </w:p>
    <w:p>
      <w:r/>
      <w:r/>
    </w:p>
    <w:p>
      <w:pPr>
        <w:pStyle w:val="712"/>
        <w:ind w:firstLine="420"/>
        <w:rPr>
          <w:rFonts w:hint="default"/>
        </w:rPr>
      </w:pPr>
      <w:r>
        <w:rPr>
          <w:rFonts w:hint="default"/>
        </w:rPr>
      </w:r>
      <w:r/>
    </w:p>
    <w:p>
      <w:r/>
      <w:r/>
    </w:p>
    <w:p>
      <w:r/>
      <w:r/>
    </w:p>
    <w:p>
      <w:r/>
      <w:r/>
    </w:p>
    <w:p>
      <w:r/>
      <w:r/>
    </w:p>
    <w:p>
      <w:pPr>
        <w:pStyle w:val="712"/>
        <w:rPr>
          <w:rFonts w:hint="default"/>
        </w:rPr>
      </w:pPr>
      <w:r>
        <w:rPr>
          <w:rFonts w:hint="default"/>
        </w:rPr>
      </w:r>
      <w:r/>
    </w:p>
    <w:p>
      <w:r/>
      <w:r/>
    </w:p>
    <w:p>
      <w:r/>
      <w:r/>
    </w:p>
    <w:p>
      <w:pPr>
        <w:pStyle w:val="712"/>
        <w:ind w:firstLine="420"/>
        <w:rPr>
          <w:rFonts w:hint="default"/>
        </w:rPr>
      </w:pPr>
      <w:r>
        <w:rPr>
          <w:rFonts w:hint="default"/>
        </w:rPr>
      </w:r>
      <w:r/>
    </w:p>
    <w:p>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701"/>
        <w:rPr>
          <w:rFonts w:ascii="宋体"/>
          <w:bCs w:val="0"/>
          <w:sz w:val="28"/>
          <w:szCs w:val="28"/>
        </w:rPr>
      </w:pPr>
      <w:r/>
      <w:bookmarkStart w:id="75" w:name="_Toc116396241"/>
      <w:r/>
      <w:bookmarkStart w:id="76" w:name="_Toc116396562"/>
      <w:r/>
      <w:bookmarkStart w:id="77" w:name="_Ref25090"/>
      <w:r>
        <w:rPr>
          <w:rFonts w:hint="eastAsia" w:ascii="宋体"/>
          <w:bCs w:val="0"/>
          <w:sz w:val="28"/>
          <w:szCs w:val="28"/>
        </w:rPr>
        <w:t xml:space="preserve">11、残疾人福利性单位声明函</w:t>
      </w:r>
      <w:bookmarkEnd w:id="75"/>
      <w:r/>
      <w:bookmarkEnd w:id="76"/>
      <w:r/>
      <w:bookmarkEnd w:id="77"/>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4"/>
        </w:rPr>
      </w:pPr>
      <w:r>
        <w:rPr>
          <w:rFonts w:hint="eastAsia" w:ascii="宋体"/>
          <w:spacing w:val="6"/>
          <w:sz w:val="24"/>
        </w:rPr>
        <w:t xml:space="preserve">残疾人福利性单位声明函</w:t>
      </w:r>
      <w:r/>
    </w:p>
    <w:p>
      <w:pPr>
        <w:spacing w:line="580" w:lineRule="exact"/>
        <w:rPr>
          <w:rFonts w:ascii="宋体"/>
          <w:spacing w:val="6"/>
          <w:szCs w:val="21"/>
        </w:rPr>
      </w:pPr>
      <w:r>
        <w:rPr>
          <w:rFonts w:ascii="宋体"/>
          <w:spacing w:val="6"/>
          <w:szCs w:val="21"/>
        </w:rPr>
      </w:r>
      <w:r/>
    </w:p>
    <w:p>
      <w:pPr>
        <w:ind w:firstLine="44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444"/>
        <w:spacing w:line="580" w:lineRule="exact"/>
        <w:rPr>
          <w:rFonts w:ascii="宋体"/>
          <w:spacing w:val="6"/>
          <w:szCs w:val="21"/>
        </w:rPr>
      </w:pPr>
      <w:r>
        <w:rPr>
          <w:rFonts w:ascii="宋体"/>
          <w:spacing w:val="6"/>
          <w:szCs w:val="21"/>
        </w:rPr>
      </w:r>
      <w:r/>
    </w:p>
    <w:p>
      <w:pPr>
        <w:ind w:firstLine="444"/>
        <w:spacing w:line="580" w:lineRule="exact"/>
        <w:rPr>
          <w:rFonts w:ascii="宋体"/>
          <w:spacing w:val="6"/>
          <w:szCs w:val="21"/>
        </w:rPr>
      </w:pPr>
      <w:r>
        <w:rPr>
          <w:rFonts w:ascii="宋体"/>
          <w:spacing w:val="6"/>
          <w:szCs w:val="21"/>
        </w:rPr>
      </w:r>
      <w:r/>
    </w:p>
    <w:p>
      <w:pPr>
        <w:ind w:right="1560" w:firstLine="444"/>
        <w:jc w:val="right"/>
        <w:spacing w:line="580" w:lineRule="exact"/>
        <w:tabs>
          <w:tab w:val="left" w:pos="4860" w:leader="none"/>
        </w:tabs>
        <w:rPr>
          <w:rFonts w:ascii="宋体"/>
          <w:spacing w:val="6"/>
          <w:szCs w:val="21"/>
        </w:rPr>
      </w:pPr>
      <w:r>
        <w:rPr>
          <w:rFonts w:hint="eastAsia" w:ascii="宋体"/>
          <w:spacing w:val="6"/>
          <w:szCs w:val="21"/>
        </w:rPr>
        <w:t xml:space="preserve">                    投标供应商（公章）：</w:t>
      </w:r>
      <w:r/>
    </w:p>
    <w:p>
      <w:pPr>
        <w:pStyle w:val="720"/>
        <w:rPr>
          <w:rFonts w:asciiTheme="minorEastAsia" w:hAnsiTheme="minorEastAsia" w:eastAsiaTheme="minorEastAsia"/>
          <w:sz w:val="21"/>
          <w:szCs w:val="21"/>
        </w:rPr>
      </w:pPr>
      <w:r>
        <w:rPr>
          <w:rFonts w:hint="eastAsia" w:ascii="宋体"/>
          <w:spacing w:val="6"/>
          <w:sz w:val="21"/>
          <w:szCs w:val="21"/>
        </w:rPr>
        <w:t xml:space="preserve">                                            </w:t>
      </w:r>
      <w:r>
        <w:rPr>
          <w:rFonts w:hint="eastAsia" w:asciiTheme="minorEastAsia" w:hAnsiTheme="minorEastAsia" w:eastAsiaTheme="minorEastAsia"/>
          <w:spacing w:val="6"/>
          <w:sz w:val="21"/>
          <w:szCs w:val="21"/>
        </w:rPr>
        <w:t xml:space="preserve">日 期：   年   月   日</w:t>
      </w:r>
      <w:r/>
    </w:p>
    <w:p>
      <w:pPr>
        <w:ind w:right="-252" w:firstLine="420"/>
        <w:jc w:val="center"/>
        <w:spacing w:line="360" w:lineRule="auto"/>
        <w:tabs>
          <w:tab w:val="left" w:pos="360" w:leader="none"/>
        </w:tabs>
      </w:pPr>
      <w:r>
        <w:rPr>
          <w:szCs w:val="21"/>
        </w:rPr>
        <w:br w:type="page" w:clear="all"/>
      </w:r>
      <w:bookmarkStart w:id="78" w:name="_Ref79411647"/>
      <w:r/>
      <w:bookmarkStart w:id="79" w:name="_Toc116396563"/>
      <w:r/>
      <w:bookmarkStart w:id="80" w:name="_Toc116396242"/>
      <w:r/>
      <w:bookmarkStart w:id="81" w:name="_Ref25117"/>
      <w:r/>
      <w:r/>
    </w:p>
    <w:p>
      <w:pPr>
        <w:pStyle w:val="701"/>
        <w:rPr>
          <w:rFonts w:ascii="宋体"/>
          <w:bCs w:val="0"/>
          <w:sz w:val="28"/>
          <w:szCs w:val="28"/>
        </w:rPr>
      </w:pPr>
      <w:r/>
      <w:bookmarkStart w:id="82" w:name="_Ref163810165"/>
      <w:r>
        <w:rPr>
          <w:rFonts w:hint="eastAsia" w:ascii="宋体"/>
          <w:bCs w:val="0"/>
          <w:sz w:val="28"/>
          <w:szCs w:val="28"/>
        </w:rPr>
        <w:t xml:space="preserve">12、</w:t>
      </w:r>
      <w:r>
        <w:rPr>
          <w:rFonts w:ascii="宋体"/>
          <w:bCs w:val="0"/>
          <w:sz w:val="28"/>
          <w:szCs w:val="28"/>
        </w:rPr>
        <w:t xml:space="preserve">远程参与开标会议诚信承诺书</w:t>
      </w:r>
      <w:bookmarkEnd w:id="78"/>
      <w:r/>
      <w:bookmarkEnd w:id="79"/>
      <w:r/>
      <w:bookmarkEnd w:id="80"/>
      <w:r/>
      <w:bookmarkEnd w:id="82"/>
      <w:r/>
      <w:r/>
    </w:p>
    <w:p>
      <w:pPr>
        <w:contextualSpacing/>
        <w:ind w:right="-252" w:firstLine="480"/>
        <w:jc w:val="center"/>
        <w:spacing w:line="360" w:lineRule="auto"/>
        <w:rPr>
          <w:rFonts w:ascii="宋体"/>
          <w:sz w:val="24"/>
        </w:rPr>
      </w:pPr>
      <w:r>
        <w:rPr>
          <w:rFonts w:ascii="宋体"/>
          <w:sz w:val="24"/>
        </w:rPr>
        <w:t xml:space="preserve">远程参与开标会议诚信承诺书</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名称</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 、江苏鑫鲲煜工程项目管理咨询有限公司</w:t>
      </w:r>
      <w:r>
        <w:rPr>
          <w:rFonts w:hint="eastAsia" w:asciiTheme="minorEastAsia" w:hAnsiTheme="minorEastAsia" w:eastAsiaTheme="minorEastAsia"/>
          <w:szCs w:val="21"/>
        </w:rPr>
        <w:t xml:space="preserve"> ：</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人的指令和操作要求，不擅离职守，始终保持通讯顺畅，因我方原因导致10分钟内无法与管理端建立起联系的，即视为放弃交互的权利，我方认可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p>
    <w:p>
      <w:pPr>
        <w:ind w:firstLine="42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24"/>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asciiTheme="minorEastAsia" w:hAnsiTheme="minorEastAsia" w:eastAsiaTheme="minorEastAsia"/>
          <w:color w:val="000000"/>
          <w:sz w:val="21"/>
          <w:szCs w:val="21"/>
        </w:rPr>
        <w:t xml:space="preserve">投标</w:t>
      </w:r>
      <w:r>
        <w:rPr>
          <w:rFonts w:hint="eastAsia" w:asciiTheme="minorEastAsia" w:hAnsiTheme="minorEastAsia" w:eastAsiaTheme="minorEastAsia"/>
          <w:color w:val="000000"/>
          <w:sz w:val="21"/>
          <w:szCs w:val="21"/>
        </w:rPr>
        <w:t xml:space="preserve">供应商</w:t>
      </w:r>
      <w:r>
        <w:rPr>
          <w:rFonts w:asciiTheme="minorEastAsia" w:hAnsiTheme="minorEastAsia" w:eastAsiaTheme="minorEastAsia"/>
          <w:color w:val="000000"/>
          <w:sz w:val="21"/>
          <w:szCs w:val="21"/>
        </w:rPr>
        <w:t xml:space="preserve">：（公章）</w:t>
      </w:r>
      <w:r/>
    </w:p>
    <w:p>
      <w:pPr>
        <w:pStyle w:val="924"/>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24"/>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924"/>
        <w:ind w:right="-210" w:firstLine="420"/>
        <w:jc w:val="right"/>
        <w:spacing w:line="240" w:lineRule="auto"/>
        <w:rPr>
          <w:rFonts w:eastAsia="宋体"/>
          <w:color w:val="000000"/>
          <w:sz w:val="21"/>
          <w:szCs w:val="21"/>
        </w:rPr>
      </w:pPr>
      <w:r>
        <w:rPr>
          <w:rFonts w:eastAsia="宋体"/>
          <w:color w:val="000000"/>
          <w:sz w:val="21"/>
          <w:szCs w:val="21"/>
        </w:rPr>
      </w:r>
      <w:r/>
    </w:p>
    <w:p>
      <w:pPr>
        <w:pStyle w:val="701"/>
        <w:rPr>
          <w:rFonts w:ascii="宋体"/>
          <w:bCs w:val="0"/>
          <w:sz w:val="28"/>
          <w:szCs w:val="28"/>
        </w:rPr>
      </w:pPr>
      <w:r/>
      <w:bookmarkStart w:id="83" w:name="_Ref79411685"/>
      <w:r/>
      <w:bookmarkStart w:id="84" w:name="_Toc116396243"/>
      <w:r/>
      <w:bookmarkStart w:id="85" w:name="_Ref163810169"/>
      <w:r/>
      <w:bookmarkStart w:id="86" w:name="_Toc116396564"/>
      <w:r>
        <w:rPr>
          <w:rFonts w:hint="eastAsia" w:ascii="宋体"/>
          <w:bCs w:val="0"/>
          <w:sz w:val="28"/>
          <w:szCs w:val="28"/>
        </w:rPr>
        <w:t xml:space="preserve">13、</w:t>
      </w:r>
      <w:bookmarkEnd w:id="13"/>
      <w:r/>
      <w:bookmarkEnd w:id="81"/>
      <w:r/>
      <w:bookmarkEnd w:id="83"/>
      <w:r>
        <w:rPr>
          <w:rFonts w:hint="eastAsia" w:ascii="宋体"/>
          <w:bCs w:val="0"/>
          <w:sz w:val="28"/>
          <w:szCs w:val="28"/>
        </w:rPr>
        <w:t xml:space="preserve">资格证明文件</w:t>
      </w:r>
      <w:bookmarkEnd w:id="84"/>
      <w:r/>
      <w:bookmarkEnd w:id="85"/>
      <w:r/>
      <w:bookmarkEnd w:id="86"/>
      <w:r/>
      <w:r/>
    </w:p>
    <w:p>
      <w:pPr>
        <w:pStyle w:val="716"/>
        <w:ind w:firstLine="0"/>
        <w:jc w:val="both"/>
        <w:spacing w:line="360" w:lineRule="auto"/>
        <w:rPr>
          <w:rFonts w:ascii="宋体" w:hAnsi="宋体"/>
          <w:sz w:val="21"/>
          <w:szCs w:val="21"/>
        </w:rPr>
      </w:pPr>
      <w:r>
        <w:rPr>
          <w:rFonts w:hint="eastAsia" w:ascii="宋体" w:hAnsi="宋体"/>
          <w:b/>
          <w:sz w:val="21"/>
          <w:szCs w:val="21"/>
        </w:rPr>
        <w:t xml:space="preserve"> (1)、关于资格文件的声明函</w:t>
      </w:r>
      <w:r/>
    </w:p>
    <w:p>
      <w:r/>
      <w:r/>
    </w:p>
    <w:p>
      <w:pPr>
        <w:pStyle w:val="716"/>
        <w:jc w:val="center"/>
        <w:spacing w:line="360" w:lineRule="auto"/>
        <w:rPr>
          <w:rFonts w:asciiTheme="minorEastAsia" w:hAnsiTheme="minorEastAsia" w:eastAsiaTheme="minorEastAsia"/>
          <w:bCs/>
        </w:rPr>
      </w:pPr>
      <w:r>
        <w:rPr>
          <w:rFonts w:hint="eastAsia" w:asciiTheme="minorEastAsia" w:hAnsiTheme="minorEastAsia" w:eastAsiaTheme="minorEastAsia"/>
          <w:bCs/>
        </w:rPr>
        <w:t xml:space="preserve">关于资格文件的声明函</w:t>
      </w:r>
      <w:r/>
    </w:p>
    <w:p>
      <w:pPr>
        <w:pStyle w:val="716"/>
        <w:jc w:val="center"/>
        <w:spacing w:line="360" w:lineRule="auto"/>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716"/>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Style w:val="748"/>
          <w:rFonts w:hint="eastAsia" w:asciiTheme="minorEastAsia" w:hAnsiTheme="minorEastAsia" w:eastAsiaTheme="minorEastAsia"/>
          <w:sz w:val="21"/>
          <w:szCs w:val="21"/>
          <w:u w:val="single"/>
        </w:rPr>
        <w:t xml:space="preserve">江苏鑫鲲煜工程项目管理咨询有限公司 </w:t>
      </w:r>
      <w:r>
        <w:rPr>
          <w:rFonts w:hint="eastAsia" w:asciiTheme="minorEastAsia" w:hAnsiTheme="minorEastAsia" w:eastAsiaTheme="minorEastAsia"/>
          <w:sz w:val="21"/>
          <w:szCs w:val="21"/>
        </w:rPr>
        <w:t xml:space="preserve">：</w:t>
      </w:r>
      <w:r/>
    </w:p>
    <w:p>
      <w:pPr>
        <w:pStyle w:val="716"/>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本公司愿就由贵公司组织实施的编号为</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 xml:space="preserve">号的招标活动进行投标。本公司所提交的投标文件中所有关于投标资格的文件、证明和陈述均是真实的、准确的。若与真实情况不符，本公司愿意承担由此而产生的一切后果。</w:t>
      </w:r>
      <w:r/>
    </w:p>
    <w:p>
      <w:pPr>
        <w:pStyle w:val="716"/>
        <w:ind w:firstLine="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716"/>
        <w:jc w:val="righ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（投标供应商）法人（签字或盖章）：              </w:t>
      </w:r>
      <w:r/>
    </w:p>
    <w:p>
      <w:pPr>
        <w:pStyle w:val="716"/>
        <w:ind w:firstLine="425"/>
        <w:jc w:val="righ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投标供应商（公章）：              </w:t>
      </w:r>
      <w:r/>
    </w:p>
    <w:p>
      <w:pPr>
        <w:pStyle w:val="716"/>
        <w:ind w:firstLine="425"/>
        <w:jc w:val="right"/>
        <w:spacing w:line="360" w:lineRule="auto"/>
        <w:rPr>
          <w:rFonts w:asciiTheme="minorEastAsia" w:hAnsiTheme="minorEastAsia" w:eastAsiaTheme="minorEastAsia"/>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年 </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月</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2"/>
        <w:ind w:firstLine="0"/>
        <w:rPr>
          <w:rFonts w:hint="default"/>
        </w:rPr>
      </w:pPr>
      <w:r>
        <w:rPr>
          <w:rFonts w:hint="default"/>
        </w:rPr>
      </w:r>
      <w:r/>
    </w:p>
    <w:p>
      <w:pPr>
        <w:pStyle w:val="716"/>
        <w:ind w:firstLine="0"/>
        <w:jc w:val="both"/>
        <w:spacing w:line="360" w:lineRule="auto"/>
        <w:rPr>
          <w:rFonts w:ascii="宋体" w:hAnsi="宋体"/>
          <w:b/>
          <w:sz w:val="21"/>
          <w:szCs w:val="21"/>
        </w:rPr>
      </w:pPr>
      <w:r>
        <w:rPr>
          <w:rFonts w:hint="eastAsia" w:ascii="宋体" w:hAnsi="宋体"/>
          <w:b/>
          <w:sz w:val="21"/>
          <w:szCs w:val="21"/>
        </w:rPr>
        <w:t xml:space="preserve">（2）投标单位情况表</w:t>
      </w:r>
      <w:r/>
    </w:p>
    <w:p>
      <w:pPr>
        <w:pStyle w:val="716"/>
        <w:jc w:val="center"/>
        <w:rPr>
          <w:rFonts w:ascii="宋体"/>
        </w:rPr>
      </w:pPr>
      <w:r>
        <w:rPr>
          <w:rFonts w:hint="eastAsia" w:ascii="宋体"/>
        </w:rPr>
        <w:t xml:space="preserve">投标单位情况表</w:t>
      </w:r>
      <w:r/>
    </w:p>
    <w:p>
      <w:pPr>
        <w:pStyle w:val="716"/>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716"/>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销售收入</w:t>
            </w:r>
            <w:r/>
          </w:p>
        </w:tc>
        <w:tc>
          <w:tcPr>
            <w:gridSpan w:val="2"/>
            <w:tcW w:w="3204"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2024年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2024年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716"/>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p>
            <w:pPr>
              <w:pStyle w:val="716"/>
              <w:ind w:firstLine="0"/>
              <w:jc w:val="center"/>
              <w:rPr>
                <w:rFonts w:ascii="宋体" w:hAnsi="宋体"/>
                <w:sz w:val="21"/>
                <w:szCs w:val="21"/>
              </w:rPr>
            </w:pPr>
            <w:r>
              <w:rPr>
                <w:rFonts w:hint="eastAsia" w:ascii="宋体" w:hAnsi="宋体"/>
                <w:sz w:val="21"/>
                <w:szCs w:val="21"/>
              </w:rPr>
              <w:t xml:space="preserve">单位简历及内设机构情况</w:t>
            </w:r>
            <w:r/>
          </w:p>
          <w:p>
            <w:pPr>
              <w:pStyle w:val="716"/>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p>
            <w:pPr>
              <w:pStyle w:val="716"/>
              <w:ind w:firstLine="0"/>
              <w:jc w:val="center"/>
              <w:rPr>
                <w:rFonts w:ascii="宋体" w:hAnsi="宋体"/>
                <w:sz w:val="21"/>
                <w:szCs w:val="21"/>
              </w:rPr>
            </w:pPr>
            <w:r>
              <w:rPr>
                <w:rFonts w:hint="eastAsia" w:ascii="宋体" w:hAnsi="宋体"/>
                <w:sz w:val="21"/>
                <w:szCs w:val="21"/>
              </w:rPr>
              <w:t xml:space="preserve">单位优势及特长</w:t>
            </w:r>
            <w:r/>
          </w:p>
          <w:p>
            <w:pPr>
              <w:pStyle w:val="716"/>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年内主要负责人有无因经济犯罪被司法机关追究的情况及说明</w:t>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716"/>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716"/>
              <w:ind w:firstLine="0"/>
              <w:jc w:val="center"/>
              <w:rPr>
                <w:rFonts w:ascii="宋体" w:hAnsi="宋体"/>
                <w:sz w:val="21"/>
                <w:szCs w:val="21"/>
              </w:rPr>
            </w:pPr>
            <w:r>
              <w:rPr>
                <w:rFonts w:ascii="宋体" w:hAnsi="宋体"/>
                <w:sz w:val="21"/>
                <w:szCs w:val="21"/>
              </w:rPr>
            </w:r>
            <w:r/>
          </w:p>
        </w:tc>
      </w:tr>
    </w:tbl>
    <w:p>
      <w:pPr>
        <w:pStyle w:val="716"/>
        <w:ind w:firstLine="0"/>
        <w:spacing w:line="360" w:lineRule="auto"/>
        <w:rPr>
          <w:rFonts w:ascii="宋体" w:hAnsi="宋体"/>
          <w:b/>
          <w:sz w:val="21"/>
          <w:szCs w:val="21"/>
        </w:rPr>
      </w:pPr>
      <w:r>
        <w:rPr>
          <w:rFonts w:ascii="宋体" w:hAnsi="宋体"/>
          <w:b/>
          <w:sz w:val="21"/>
          <w:szCs w:val="21"/>
        </w:rPr>
      </w:r>
      <w:r/>
    </w:p>
    <w:p>
      <w:pPr>
        <w:ind w:firstLine="210"/>
      </w:pPr>
      <w:r/>
      <w:r/>
    </w:p>
    <w:p>
      <w:pPr>
        <w:pStyle w:val="712"/>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00"/>
        <w:jc w:val="center"/>
        <w:rPr>
          <w:rFonts w:cstheme="majorEastAsia"/>
          <w:sz w:val="32"/>
          <w:szCs w:val="32"/>
        </w:rPr>
      </w:pPr>
      <w:r/>
      <w:bookmarkStart w:id="87" w:name="_Toc116396565"/>
      <w:r/>
      <w:bookmarkStart w:id="88" w:name="_GoBack"/>
      <w:r/>
      <w:bookmarkEnd w:id="88"/>
      <w:r>
        <w:rPr>
          <w:rFonts w:hint="eastAsia" w:asciiTheme="majorEastAsia" w:hAnsiTheme="majorEastAsia" w:eastAsiaTheme="majorEastAsia" w:cstheme="majorEastAsia"/>
          <w:sz w:val="32"/>
          <w:szCs w:val="32"/>
        </w:rPr>
        <w:t xml:space="preserve">第四章  招标书</w:t>
      </w:r>
      <w:bookmarkEnd w:id="87"/>
      <w:r/>
      <w:r/>
    </w:p>
    <w:p>
      <w:pPr>
        <w:pStyle w:val="716"/>
        <w:ind w:right="-252"/>
        <w:spacing w:line="360" w:lineRule="auto"/>
        <w:rPr>
          <w:rFonts w:asciiTheme="minorEastAsia" w:hAnsiTheme="minorEastAsia" w:eastAsiaTheme="minorEastAsia"/>
          <w:sz w:val="21"/>
          <w:szCs w:val="21"/>
        </w:rPr>
      </w:pPr>
      <w:r>
        <w:rPr>
          <w:rStyle w:val="748"/>
          <w:rFonts w:asciiTheme="minorEastAsia" w:hAnsiTheme="minorEastAsia" w:eastAsiaTheme="minorEastAsia"/>
          <w:sz w:val="21"/>
          <w:szCs w:val="21"/>
        </w:rPr>
        <w:t xml:space="preserve">受</w:t>
      </w:r>
      <w:r>
        <w:rPr>
          <w:rStyle w:val="748"/>
          <w:rFonts w:hint="eastAsia" w:asciiTheme="minorEastAsia" w:hAnsiTheme="minorEastAsia" w:eastAsiaTheme="minorEastAsia"/>
          <w:sz w:val="21"/>
          <w:szCs w:val="21"/>
          <w:u w:val="single"/>
        </w:rPr>
        <w:t xml:space="preserve">江苏昆山花桥经济开发区管理委员（昆山市公安局交通警察大队花桥中队）</w:t>
      </w:r>
      <w:r>
        <w:rPr>
          <w:rFonts w:hint="eastAsia" w:asciiTheme="minorEastAsia" w:hAnsiTheme="minorEastAsia" w:eastAsiaTheme="minorEastAsia"/>
          <w:sz w:val="21"/>
          <w:szCs w:val="21"/>
        </w:rPr>
        <w:t xml:space="preserve">委</w:t>
      </w:r>
      <w:r>
        <w:rPr>
          <w:rStyle w:val="748"/>
          <w:rFonts w:asciiTheme="minorEastAsia" w:hAnsiTheme="minorEastAsia" w:eastAsiaTheme="minorEastAsia"/>
          <w:sz w:val="21"/>
          <w:szCs w:val="21"/>
        </w:rPr>
        <w:t xml:space="preserve">托，</w:t>
      </w:r>
      <w:r>
        <w:rPr>
          <w:rStyle w:val="748"/>
          <w:rFonts w:hint="eastAsia" w:asciiTheme="minorEastAsia" w:hAnsiTheme="minorEastAsia" w:eastAsiaTheme="minorEastAsia"/>
          <w:sz w:val="21"/>
          <w:szCs w:val="21"/>
          <w:u w:val="single"/>
        </w:rPr>
        <w:t xml:space="preserve">江苏鑫鲲煜工程项目管理咨询有限公司</w:t>
      </w:r>
      <w:r>
        <w:rPr>
          <w:rStyle w:val="748"/>
          <w:rFonts w:asciiTheme="minorEastAsia" w:hAnsiTheme="minorEastAsia" w:eastAsiaTheme="minorEastAsia"/>
          <w:sz w:val="21"/>
          <w:szCs w:val="21"/>
        </w:rPr>
        <w:t xml:space="preserve">对其所需采购</w:t>
      </w:r>
      <w:r>
        <w:rPr>
          <w:rStyle w:val="748"/>
          <w:rFonts w:hint="eastAsia" w:asciiTheme="minorEastAsia" w:hAnsiTheme="minorEastAsia" w:eastAsiaTheme="minorEastAsia"/>
          <w:sz w:val="21"/>
          <w:szCs w:val="21"/>
        </w:rPr>
        <w:t xml:space="preserve">的</w:t>
      </w:r>
      <w:r>
        <w:rPr>
          <w:rStyle w:val="748"/>
          <w:rFonts w:hint="eastAsia" w:asciiTheme="minorEastAsia" w:hAnsiTheme="minorEastAsia" w:eastAsiaTheme="minorEastAsia"/>
          <w:sz w:val="21"/>
          <w:szCs w:val="21"/>
          <w:u w:val="single"/>
        </w:rPr>
        <w:t xml:space="preserve">2026-2027年交通设施维护服务</w:t>
      </w:r>
      <w:r>
        <w:rPr>
          <w:rStyle w:val="748"/>
          <w:rFonts w:hint="eastAsia" w:asciiTheme="minorEastAsia" w:hAnsiTheme="minorEastAsia" w:eastAsiaTheme="minorEastAsia"/>
          <w:sz w:val="21"/>
          <w:szCs w:val="21"/>
        </w:rPr>
        <w:t xml:space="preserve">专门面对国内中小企业</w:t>
      </w:r>
      <w:r>
        <w:rPr>
          <w:rFonts w:hint="eastAsia" w:asciiTheme="minorEastAsia" w:hAnsiTheme="minorEastAsia" w:eastAsiaTheme="minorEastAsia"/>
          <w:sz w:val="21"/>
          <w:szCs w:val="21"/>
        </w:rPr>
        <w:t xml:space="preserve">进行公开招标。欢迎有资格的单位参加投标。</w:t>
      </w:r>
      <w:r/>
    </w:p>
    <w:p>
      <w:pPr>
        <w:ind w:right="178"/>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asciiTheme="minorEastAsia" w:hAnsiTheme="minorEastAsia" w:eastAsiaTheme="minorEastAsia"/>
          <w:szCs w:val="21"/>
        </w:rPr>
        <w:t xml:space="preserve">JSZC-320583-XKYG-G202</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-00</w:t>
      </w:r>
      <w:r>
        <w:rPr>
          <w:rFonts w:hint="eastAsia" w:asciiTheme="minorEastAsia" w:hAnsiTheme="minorEastAsia" w:eastAsiaTheme="minorEastAsia"/>
          <w:szCs w:val="21"/>
        </w:rPr>
        <w:t xml:space="preserve">07</w:t>
      </w:r>
      <w:r/>
    </w:p>
    <w:p>
      <w:pPr>
        <w:ind w:right="178"/>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Fonts w:hint="eastAsia" w:asciiTheme="minorEastAsia" w:hAnsiTheme="minorEastAsia" w:eastAsiaTheme="minorEastAsia"/>
          <w:szCs w:val="21"/>
        </w:rPr>
        <w:t xml:space="preserve">2026-2027年交通设施维护服务</w:t>
      </w:r>
      <w:r/>
    </w:p>
    <w:p>
      <w:pPr>
        <w:ind w:right="178"/>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三、服务时间：</w:t>
      </w:r>
      <w:r>
        <w:rPr>
          <w:rFonts w:hint="eastAsia" w:asciiTheme="minorEastAsia" w:hAnsiTheme="minorEastAsia" w:eastAsiaTheme="minorEastAsia"/>
          <w:szCs w:val="21"/>
        </w:rPr>
        <w:t xml:space="preserve">2年（具体在合同中明确）</w:t>
      </w:r>
      <w:r/>
    </w:p>
    <w:p>
      <w:pPr>
        <w:ind w:right="178"/>
        <w:spacing w:line="360" w:lineRule="auto"/>
        <w:rPr>
          <w:rFonts w:cs="宋体"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asciiTheme="minorEastAsia" w:hAnsiTheme="minorEastAsia" w:eastAsiaTheme="minorEastAsia"/>
          <w:bCs/>
          <w:szCs w:val="21"/>
        </w:rPr>
        <w:t xml:space="preserve">人民币肆佰贰拾万元整（RMB:420</w:t>
      </w:r>
      <w:r>
        <w:rPr>
          <w:rFonts w:asciiTheme="minorEastAsia" w:hAnsiTheme="minorEastAsia" w:eastAsiaTheme="minorEastAsia"/>
          <w:bCs/>
          <w:szCs w:val="21"/>
        </w:rPr>
        <w:t xml:space="preserve">0000</w:t>
      </w:r>
      <w:r>
        <w:rPr>
          <w:rFonts w:hint="eastAsia" w:asciiTheme="minorEastAsia" w:hAnsiTheme="minorEastAsia" w:eastAsiaTheme="minorEastAsia"/>
          <w:bCs/>
          <w:szCs w:val="21"/>
        </w:rPr>
        <w:t xml:space="preserve">.00元）</w:t>
      </w:r>
      <w:r/>
    </w:p>
    <w:p>
      <w:pPr>
        <w:ind w:right="178"/>
        <w:spacing w:line="360" w:lineRule="auto"/>
        <w:rPr>
          <w:rFonts w:ascii="宋体" w:hAnsi="宋体"/>
        </w:rPr>
      </w:pPr>
      <w:r>
        <w:rPr>
          <w:rFonts w:hint="eastAsia" w:ascii="宋体" w:hAnsi="宋体" w:cs="宋体"/>
          <w:b/>
          <w:szCs w:val="21"/>
        </w:rPr>
        <w:t xml:space="preserve">五、招标内容：</w:t>
      </w:r>
      <w:r/>
    </w:p>
    <w:p>
      <w:pPr>
        <w:ind w:firstLine="420"/>
        <w:jc w:val="left"/>
        <w:spacing w:line="360" w:lineRule="auto"/>
        <w:rPr>
          <w:rFonts w:ascii="宋体" w:hAnsi="宋体"/>
          <w:szCs w:val="21"/>
        </w:rPr>
      </w:pPr>
      <w:r>
        <w:rPr>
          <w:rFonts w:hint="eastAsia" w:ascii="宋体" w:hAnsi="宋体" w:cs="宋体"/>
          <w:szCs w:val="20"/>
        </w:rPr>
        <w:t xml:space="preserve">本项目是</w:t>
      </w:r>
      <w:r>
        <w:rPr>
          <w:rFonts w:hint="eastAsia" w:ascii="宋体" w:hAnsi="宋体"/>
          <w:szCs w:val="21"/>
        </w:rPr>
        <w:t xml:space="preserve">对昆山市花桥镇内非框架道路的交通标线、标志、信号灯、隔离护栏、警示桩等交通设施及其附属装置进行安全管理及日常维护修理，包括定期检测、维修、清洁（含现场清洁）、更换等，保证各项交通设施性能良好、运行正常、稳定。具体服务范围以招标人实际要求为准。</w:t>
      </w:r>
      <w:r/>
    </w:p>
    <w:p>
      <w:pPr>
        <w:ind w:firstLine="422"/>
        <w:jc w:val="left"/>
        <w:spacing w:line="360" w:lineRule="auto"/>
        <w:rPr>
          <w:rFonts w:ascii="宋体" w:hAnsi="宋体" w:cs="宋体"/>
          <w:b/>
          <w:bCs/>
          <w:szCs w:val="21"/>
        </w:rPr>
      </w:pPr>
      <w:r>
        <w:rPr>
          <w:rFonts w:hint="eastAsia" w:ascii="宋体" w:hAnsi="宋体" w:cs="宋体"/>
          <w:b/>
          <w:bCs/>
          <w:szCs w:val="21"/>
        </w:rPr>
        <w:t xml:space="preserve">1、项目清单如下：</w:t>
      </w:r>
      <w:r/>
    </w:p>
    <w:tbl>
      <w:tblPr>
        <w:tblStyle w:val="744"/>
        <w:tblW w:w="47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2631"/>
        <w:gridCol w:w="2671"/>
        <w:gridCol w:w="767"/>
        <w:gridCol w:w="811"/>
        <w:gridCol w:w="1228"/>
      </w:tblGrid>
      <w:tr>
        <w:trPr>
          <w:jc w:val="center"/>
          <w:trHeight w:val="589"/>
        </w:trPr>
        <w:tc>
          <w:tcPr>
            <w:tcW w:w="399" w:type="pct"/>
            <w:vAlign w:val="center"/>
            <w:textDirection w:val="lrTb"/>
            <w:noWrap w:val="false"/>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编号</w:t>
            </w:r>
            <w:r/>
          </w:p>
        </w:tc>
        <w:tc>
          <w:tcPr>
            <w:tcW w:w="1492" w:type="pct"/>
            <w:vAlign w:val="center"/>
            <w:textDirection w:val="lrTb"/>
            <w:noWrap w:val="false"/>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项目名称</w:t>
            </w:r>
            <w:r/>
          </w:p>
        </w:tc>
        <w:tc>
          <w:tcPr>
            <w:tcW w:w="1515" w:type="pct"/>
            <w:vAlign w:val="center"/>
            <w:textDirection w:val="lrTb"/>
            <w:noWrap w:val="false"/>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规格</w:t>
            </w:r>
            <w:r/>
          </w:p>
        </w:tc>
        <w:tc>
          <w:tcPr>
            <w:tcW w:w="435" w:type="pct"/>
            <w:vAlign w:val="center"/>
            <w:textDirection w:val="lrTb"/>
            <w:noWrap w:val="false"/>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单位</w:t>
            </w:r>
            <w:r/>
          </w:p>
        </w:tc>
        <w:tc>
          <w:tcPr>
            <w:tcW w:w="460" w:type="pct"/>
            <w:vAlign w:val="center"/>
            <w:textDirection w:val="lrTb"/>
            <w:noWrap w:val="false"/>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数量</w:t>
            </w:r>
            <w:r/>
          </w:p>
        </w:tc>
        <w:tc>
          <w:tcPr>
            <w:tcW w:w="697" w:type="pct"/>
            <w:vAlign w:val="center"/>
            <w:textDirection w:val="lrTb"/>
            <w:noWrap w:val="false"/>
          </w:tcPr>
          <w:p>
            <w:pPr>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xml:space="preserve">单价（元）</w:t>
            </w:r>
            <w:r/>
          </w:p>
        </w:tc>
      </w:tr>
      <w:tr>
        <w:trPr>
          <w:jc w:val="center"/>
          <w:trHeight w:val="355"/>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bCs/>
                <w:color w:val="000000"/>
                <w:sz w:val="20"/>
                <w:szCs w:val="20"/>
                <w:lang w:bidi="ar"/>
              </w:rPr>
              <w:t xml:space="preserve">一</w:t>
            </w:r>
            <w:r/>
          </w:p>
        </w:tc>
        <w:tc>
          <w:tcPr>
            <w:gridSpan w:val="2"/>
            <w:tcW w:w="3007" w:type="pct"/>
            <w:vAlign w:val="center"/>
            <w:textDirection w:val="lrTb"/>
            <w:noWrap w:val="false"/>
          </w:tcPr>
          <w:p>
            <w:pPr>
              <w:jc w:val="left"/>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bCs/>
                <w:color w:val="000000"/>
                <w:sz w:val="20"/>
                <w:szCs w:val="20"/>
                <w:lang w:bidi="ar"/>
              </w:rPr>
              <w:t xml:space="preserve">交通标志、标线等类</w:t>
            </w:r>
            <w:r/>
          </w:p>
        </w:tc>
        <w:tc>
          <w:tcPr>
            <w:tcW w:w="435" w:type="pct"/>
            <w:vAlign w:val="center"/>
            <w:textDirection w:val="lrTb"/>
            <w:noWrap w:val="false"/>
          </w:tcPr>
          <w:p>
            <w:pPr>
              <w:jc w:val="center"/>
              <w:rPr>
                <w:rFonts w:asciiTheme="minorEastAsia" w:hAnsiTheme="minorEastAsia" w:eastAsiaTheme="minorEastAsia" w:cstheme="minorEastAsia"/>
                <w:sz w:val="20"/>
                <w:szCs w:val="20"/>
              </w:rPr>
            </w:pPr>
            <w:r>
              <w:rPr>
                <w:rFonts w:asciiTheme="minorEastAsia" w:hAnsiTheme="minorEastAsia" w:eastAsiaTheme="minorEastAsia" w:cstheme="minorEastAsia"/>
                <w:sz w:val="20"/>
                <w:szCs w:val="20"/>
              </w:rPr>
            </w:r>
            <w:r/>
          </w:p>
        </w:tc>
        <w:tc>
          <w:tcPr>
            <w:tcW w:w="460" w:type="pct"/>
            <w:vAlign w:val="center"/>
            <w:textDirection w:val="lrTb"/>
            <w:noWrap w:val="false"/>
          </w:tcPr>
          <w:p>
            <w:pPr>
              <w:jc w:val="center"/>
              <w:rPr>
                <w:rFonts w:asciiTheme="minorEastAsia" w:hAnsiTheme="minorEastAsia" w:eastAsiaTheme="minorEastAsia" w:cstheme="minorEastAsia"/>
                <w:sz w:val="20"/>
                <w:szCs w:val="20"/>
              </w:rPr>
            </w:pPr>
            <w:r>
              <w:rPr>
                <w:rFonts w:asciiTheme="minorEastAsia" w:hAnsiTheme="minorEastAsia" w:eastAsiaTheme="minorEastAsia" w:cstheme="minorEastAsia"/>
                <w:sz w:val="20"/>
                <w:szCs w:val="20"/>
              </w:rPr>
            </w:r>
            <w:r/>
          </w:p>
        </w:tc>
        <w:tc>
          <w:tcPr>
            <w:tcW w:w="697" w:type="pct"/>
            <w:vAlign w:val="center"/>
            <w:textDirection w:val="lrTb"/>
            <w:noWrap w:val="false"/>
          </w:tcPr>
          <w:p>
            <w:pPr>
              <w:jc w:val="center"/>
              <w:rPr>
                <w:rFonts w:asciiTheme="minorEastAsia" w:hAnsiTheme="minorEastAsia" w:eastAsiaTheme="minorEastAsia" w:cstheme="minorEastAsia"/>
                <w:sz w:val="20"/>
                <w:szCs w:val="20"/>
              </w:rPr>
            </w:pPr>
            <w:r>
              <w:rPr>
                <w:rFonts w:asciiTheme="minorEastAsia" w:hAnsiTheme="minorEastAsia" w:eastAsiaTheme="minorEastAsia" w:cstheme="minorEastAsia"/>
                <w:sz w:val="20"/>
                <w:szCs w:val="20"/>
              </w:rPr>
            </w:r>
            <w:r/>
          </w:p>
        </w:tc>
      </w:tr>
      <w:tr>
        <w:trPr>
          <w:jc w:val="center"/>
          <w:trHeight w:val="343"/>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Φ60反光标志</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205</w:t>
            </w:r>
            <w:r/>
          </w:p>
        </w:tc>
      </w:tr>
      <w:tr>
        <w:trPr>
          <w:jc w:val="center"/>
          <w:trHeight w:val="589"/>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2</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Φ80反光标志</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345</w:t>
            </w:r>
            <w:r/>
          </w:p>
        </w:tc>
      </w:tr>
      <w:tr>
        <w:trPr>
          <w:jc w:val="center"/>
          <w:trHeight w:val="589"/>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Φ100反光标志</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562</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4</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Φ120反光标志</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624</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5</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L90cm反光标志</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311</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6</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L110cm反光标志</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385</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7</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L130cm反光标志</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473</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8</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反光标志1平方以下</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468</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9</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反光标志1平方以下</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1.5mm铝板,高强级反光膜(10年)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535</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10</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反光标志1平方以上</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453</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11</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反光标志1平方以上</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1.5mm铝板,高强级反光膜(10年)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633</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12</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反光标志1平方以上</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2mm铝板,工程级反光膜(7年)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500</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13</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反光标志1平方以上</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2mm铝板,高强级反光膜(10年)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623</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14</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反光标志1平方以上</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3mm铝板,工程级反光膜(7年)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602</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15</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反光标志1平方以上</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3mm铝板,高强级反光膜(10年)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756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16</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标志牌改贴</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1平方以上,工程级反光膜(7年)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295</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17</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标志牌改贴</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1平方以下,工程级反光膜(7年)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347</w:t>
            </w:r>
            <w:r/>
          </w:p>
        </w:tc>
      </w:tr>
      <w:tr>
        <w:trPr>
          <w:jc w:val="center"/>
          <w:trHeight w:val="197"/>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18</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反光膜</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工程级反光膜(7年)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173</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19</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反光膜</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工程级反光膜(10年)</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214</w:t>
            </w:r>
            <w:r/>
          </w:p>
        </w:tc>
      </w:tr>
      <w:tr>
        <w:trPr>
          <w:jc w:val="center"/>
          <w:trHeight w:val="122"/>
        </w:trPr>
        <w:tc>
          <w:tcPr>
            <w:tcW w:w="399"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20</w:t>
            </w:r>
            <w:r/>
          </w:p>
        </w:tc>
        <w:tc>
          <w:tcPr>
            <w:tcW w:w="1492"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800*800mm</w:t>
            </w:r>
            <w:r/>
          </w:p>
        </w:tc>
        <w:tc>
          <w:tcPr>
            <w:tcW w:w="435"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20"/>
                <w:szCs w:val="20"/>
                <w:lang w:bidi="ar"/>
              </w:rPr>
              <w:t xml:space="preserve">3934</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DN800mm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3637</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DN600mm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3176</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L900mm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3627</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900*200mm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1997</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L700mm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2879</w:t>
            </w:r>
            <w:r/>
          </w:p>
        </w:tc>
      </w:tr>
      <w:tr>
        <w:trPr>
          <w:jc w:val="center"/>
          <w:trHeight w:val="2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太阳能供电系统</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4250</w:t>
            </w:r>
            <w:r/>
          </w:p>
        </w:tc>
      </w:tr>
      <w:tr>
        <w:trPr>
          <w:jc w:val="center"/>
          <w:trHeight w:val="1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LED可变车道标志</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1.0m*1.5m,LED,无锡安邦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25000</w:t>
            </w:r>
            <w:r/>
          </w:p>
        </w:tc>
      </w:tr>
      <w:tr>
        <w:trPr>
          <w:jc w:val="center"/>
          <w:trHeight w:val="144"/>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全透LED标志牌</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4355</w:t>
            </w:r>
            <w:r/>
          </w:p>
        </w:tc>
      </w:tr>
      <w:tr>
        <w:trPr>
          <w:jc w:val="center"/>
          <w:trHeight w:val="32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抱箍配件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3寸及以下、热镀锌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抱箍配件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4寸、热镀锌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抱箍配件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5寸、热镀锌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w:t>
            </w:r>
            <w:r/>
          </w:p>
        </w:tc>
      </w:tr>
      <w:tr>
        <w:trPr>
          <w:jc w:val="center"/>
          <w:trHeight w:val="31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抱箍配件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6寸、热镀锌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w:t>
            </w:r>
            <w:r/>
          </w:p>
        </w:tc>
      </w:tr>
      <w:tr>
        <w:trPr>
          <w:jc w:val="center"/>
          <w:trHeight w:val="2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抱箍配件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8寸、热镀锌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w:t>
            </w:r>
            <w:r/>
          </w:p>
        </w:tc>
      </w:tr>
      <w:tr>
        <w:trPr>
          <w:jc w:val="center"/>
          <w:trHeight w:val="2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不锈钢捆扎</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2-8寸</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w:t>
            </w:r>
            <w:r/>
          </w:p>
        </w:tc>
      </w:tr>
      <w:tr>
        <w:trPr>
          <w:jc w:val="center"/>
          <w:trHeight w:val="2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2寸镀锌管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65*2.7mm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65</w:t>
            </w:r>
            <w:r/>
          </w:p>
        </w:tc>
      </w:tr>
      <w:tr>
        <w:trPr>
          <w:jc w:val="center"/>
          <w:trHeight w:val="35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3寸镀锌管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89*3mm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94</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Φ114横杆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114*5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149</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Φ127横杆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127*6</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175</w:t>
            </w:r>
            <w:r/>
          </w:p>
        </w:tc>
      </w:tr>
      <w:tr>
        <w:trPr>
          <w:jc w:val="center"/>
          <w:trHeight w:val="1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Φ56*2300镀锌管立杆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3mm,不含基础</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227</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3寸3.5米镀锌立杆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3mm,不含基础</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377</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3寸4.5米镀锌立杆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3mm,不含基础</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439</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4寸3.5米镀锌立杆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4mm,不含基础</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475</w:t>
            </w:r>
            <w:r/>
          </w:p>
        </w:tc>
      </w:tr>
      <w:tr>
        <w:trPr>
          <w:jc w:val="center"/>
          <w:trHeight w:val="2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4寸4.5米镀锌立杆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4mm,不含基础</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558</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6寸5米镀锌立杆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5mm,不含基础</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1022</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3、4寸立杆基础</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C25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175</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Φ219*7300标志杆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6mm,含基础件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6724</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Φ219标志杆基础铁件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6*20mm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561</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C25砼基础</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C25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立方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750</w:t>
            </w:r>
            <w:r/>
          </w:p>
        </w:tc>
      </w:tr>
      <w:tr>
        <w:trPr>
          <w:jc w:val="center"/>
          <w:trHeight w:val="1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挖土运方</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人工挖基坑土及运方</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立方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240</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Φ273*8100标志杆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10mm,含基础件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13779</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Φ273标志杆基础铁件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8*24mm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905</w:t>
            </w:r>
            <w:r/>
          </w:p>
        </w:tc>
      </w:tr>
      <w:tr>
        <w:trPr>
          <w:jc w:val="center"/>
          <w:trHeight w:val="35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移动式支架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2寸镀锌管,高120cm,宽150cm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289</w:t>
            </w:r>
            <w:r/>
          </w:p>
        </w:tc>
      </w:tr>
      <w:tr>
        <w:trPr>
          <w:jc w:val="center"/>
          <w:trHeight w:val="403"/>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移动式支架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2寸镀锌管,高200cm,宽245cm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404</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2寸反光车轮档杆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3mm、贴反光膜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185</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2.5寸反光车轮档杆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3mm、贴反光膜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208</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漆划标线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冷喷、国标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T型车位</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冷喷、国标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框型车位</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冷喷、国标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45</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自行车标识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冷喷、国标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公交车图案</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冷喷、国标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40</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路沿石喷单色漆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冷喷、国标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路沿石喷双色漆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冷喷、国标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40</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漆划标线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热熔、国标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46</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T型车位</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热熔、国标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框型车位</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热熔、国标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98</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自行车标识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热熔、国标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107</w:t>
            </w:r>
            <w:r/>
          </w:p>
        </w:tc>
      </w:tr>
      <w:tr>
        <w:trPr>
          <w:jc w:val="center"/>
          <w:trHeight w:val="18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公交车图案</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热熔、国标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127</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机磨线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高压水除线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68</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高压水除T型车位</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高压水除框式车位</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99</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立面标线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106</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减速震荡线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热熔、国标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138</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立体停车线(横道线)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热熔、国标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123</w:t>
            </w:r>
            <w:r/>
          </w:p>
        </w:tc>
      </w:tr>
      <w:tr>
        <w:trPr>
          <w:jc w:val="center"/>
          <w:trHeight w:val="1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双组份道路漆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A、B组漆+固化剂</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64</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PVC警示桩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Φ80*750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49</w:t>
            </w:r>
            <w:r/>
          </w:p>
        </w:tc>
      </w:tr>
      <w:tr>
        <w:trPr>
          <w:jc w:val="center"/>
          <w:trHeight w:val="34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Φ89*1200镀锌管贴反光膜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173</w:t>
            </w:r>
            <w:r/>
          </w:p>
        </w:tc>
      </w:tr>
      <w:tr>
        <w:trPr>
          <w:jc w:val="center"/>
          <w:trHeight w:val="4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Φ114*1200镀锌管贴反光膜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208</w:t>
            </w:r>
            <w:r/>
          </w:p>
        </w:tc>
      </w:tr>
      <w:tr>
        <w:trPr>
          <w:jc w:val="center"/>
          <w:trHeight w:val="35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Φ160*1200镀锌管贴反光膜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318</w:t>
            </w:r>
            <w:r/>
          </w:p>
        </w:tc>
      </w:tr>
      <w:tr>
        <w:trPr>
          <w:jc w:val="center"/>
          <w:trHeight w:val="4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Φ219*1200镀锌管贴反光膜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797</w:t>
            </w:r>
            <w:r/>
          </w:p>
        </w:tc>
      </w:tr>
      <w:tr>
        <w:trPr>
          <w:jc w:val="center"/>
          <w:trHeight w:val="1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9寸镀锌管贴反光膜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591</w:t>
            </w:r>
            <w:r/>
          </w:p>
        </w:tc>
      </w:tr>
      <w:tr>
        <w:trPr>
          <w:jc w:val="center"/>
          <w:trHeight w:val="32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Φ89*1200镀锌管贴荧光黄绿色反光膜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202</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Φ114*1200镀锌管贴荧光黄绿色反光膜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243</w:t>
            </w:r>
            <w:r/>
          </w:p>
        </w:tc>
      </w:tr>
      <w:tr>
        <w:trPr>
          <w:jc w:val="center"/>
          <w:trHeight w:val="34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Φ160*1200镀锌管贴荧光黄绿色反光膜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439</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Φ219*1200镀锌管贴荧光黄绿色反光膜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952</w:t>
            </w:r>
            <w:r/>
          </w:p>
        </w:tc>
      </w:tr>
      <w:tr>
        <w:trPr>
          <w:jc w:val="center"/>
          <w:trHeight w:val="34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9寸镀锌管贴荧光黄绿色反光膜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1095</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不锈钢警示桩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Φ159*5*700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918</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警示桩改贴反光膜</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荧光黄绿、黑色反光膜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87</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机械钻孔</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71</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警示桩灌砼</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93</w:t>
            </w:r>
            <w:r/>
          </w:p>
        </w:tc>
      </w:tr>
      <w:tr>
        <w:trPr>
          <w:jc w:val="center"/>
          <w:trHeight w:val="31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反光安全锥</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H=700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79</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方尖碑</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H=750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103</w:t>
            </w:r>
            <w:r/>
          </w:p>
        </w:tc>
      </w:tr>
      <w:tr>
        <w:trPr>
          <w:jc w:val="center"/>
          <w:trHeight w:val="31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铁链条</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防撞桶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Φ600*800,含沙</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617</w:t>
            </w:r>
            <w:r/>
          </w:p>
        </w:tc>
      </w:tr>
      <w:tr>
        <w:trPr>
          <w:jc w:val="center"/>
          <w:trHeight w:val="1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减速驳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320*1000*50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减速驳拆除</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29</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轮廓标</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120*50*70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道钉</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100*100*20铁反光膜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转角镜</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Φ800,含配件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面</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293</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转角镜</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Φ1000,含配件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面</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415</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油漆立杆</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118</w:t>
            </w:r>
            <w:r/>
          </w:p>
        </w:tc>
      </w:tr>
      <w:tr>
        <w:trPr>
          <w:jc w:val="center"/>
          <w:trHeight w:val="1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油漆一体化信号灯</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182</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油漆配电箱(大控制箱)</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283</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油漆配电箱(小控制箱)</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173</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油漆挑臂信号灯(常州)</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1230</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油漆前进路框式信号灯杆</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1768</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油漆前进路框式标志杆</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306</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油漆F标志杆杆</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612</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吊机机械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929</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吊机机械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464</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升降车机械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514</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升降车机械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257</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工程车辆机械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547</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工程车辆机械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290</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焊接机械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648</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焊接机械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324</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气割机械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648</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气割机械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324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标志牌修理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机械及人工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260</w:t>
            </w:r>
            <w:r/>
          </w:p>
        </w:tc>
      </w:tr>
      <w:tr>
        <w:trPr>
          <w:jc w:val="center"/>
          <w:trHeight w:val="114"/>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修剪树枝</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机械及人工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警示桩修理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机械及人工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92</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其他零星修理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机械及人工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260</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人工</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工</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300</w:t>
            </w:r>
            <w:r/>
          </w:p>
        </w:tc>
      </w:tr>
      <w:tr>
        <w:trPr>
          <w:jc w:val="center"/>
          <w:trHeight w:val="1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2寸乙烯管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玻璃</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1.2mm玻璃6.8*4.8；</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m2</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185</w:t>
            </w:r>
            <w:r/>
          </w:p>
        </w:tc>
      </w:tr>
      <w:tr>
        <w:trPr>
          <w:jc w:val="center"/>
          <w:trHeight w:val="1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不锈钢包边</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304不锈钢包边</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258</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插座，开关</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w:t>
            </w:r>
            <w:r/>
          </w:p>
        </w:tc>
      </w:tr>
      <w:tr>
        <w:trPr>
          <w:jc w:val="center"/>
          <w:trHeight w:val="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拆除侧石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拆除侧石并外运7KM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地弹簧</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GMT地弹簧及配件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503</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电动移门感应机组</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松下感应机组</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9850</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感应机组调试费</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1155</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钢板租赁</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2311</w:t>
            </w:r>
            <w:r/>
          </w:p>
        </w:tc>
      </w:tr>
      <w:tr>
        <w:trPr>
          <w:jc w:val="center"/>
          <w:trHeight w:val="453"/>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钢化玻璃</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双面5mm钢化玻璃，中空磨砂玻璃，铝合金边框</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m2</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350</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钢化玻璃顶部加固</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5*5角钢制作加固</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183</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钢结构</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164</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机械进退场</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747</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检查井</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检查井维修</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座</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347</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拉手</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不锈钢拉手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168</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门夹</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220</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配管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吊顶内配管扣压式镀锌电线管KBG25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w:t>
            </w:r>
            <w:r/>
          </w:p>
        </w:tc>
      </w:tr>
      <w:tr>
        <w:trPr>
          <w:jc w:val="center"/>
          <w:trHeight w:val="1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配线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BV2.5平方线</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配线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BV4平方线</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m</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4.6</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破碎路面</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拆除损坏砼路面及外运</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w:t>
            </w:r>
            <w:r/>
          </w:p>
        </w:tc>
      </w:tr>
      <w:tr>
        <w:trPr>
          <w:jc w:val="center"/>
          <w:trHeight w:val="6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全玻自由门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单开玻璃门；12mm钢化玻璃表面贴磨砂膜；锁具；铰链；地弹簧 规格900*2100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1108</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三合土</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30cm三合土</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立方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r>
      <w:tr>
        <w:trPr>
          <w:jc w:val="center"/>
          <w:trHeight w:val="32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水泥混凝土</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20cmC30混凝土面层，养生，切缝</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140</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碎石垫层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10cm碎石垫层</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挖土方</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挖土方并外运7KM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立方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67</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新建侧石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12*30cm，含坞膀</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荧光灯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600*600LED平板灯超薄</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电源</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12V3A</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120</w:t>
            </w:r>
            <w:r/>
          </w:p>
        </w:tc>
      </w:tr>
      <w:tr>
        <w:trPr>
          <w:jc w:val="center"/>
          <w:trHeight w:val="1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按钮</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86型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线管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DN25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12.5</w:t>
            </w:r>
            <w:r/>
          </w:p>
        </w:tc>
      </w:tr>
      <w:tr>
        <w:trPr>
          <w:jc w:val="center"/>
          <w:trHeight w:val="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读卡器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DS-K1102MK</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934</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控制主机</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DS-K1T341M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2008</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DS-K2604</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2121</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电插锁</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DS-K4T108</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2117</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电插锁</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DS-K4T108G</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831</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玻璃锁夹</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DS-K4T108-U1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69</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双口信息面板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FP-21-2</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2米六类网络跳线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PC-13-6-20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线槽</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PVC1公分</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线槽</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PVC3公分</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RVV2*0.75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2.19</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电源线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RVV3*2.5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10.19</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电插锁控制线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RVV4*1.0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读卡器信号线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RVVP4*1.0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六类信息模块</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UTP-CAT6e</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33</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高清车牌识别一体机</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博思高BSG-TCE116TS</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17800</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车牌识别摄像机</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博思高BSG-TCE116</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7500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博思高BSG-116</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3845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车牌识别显示屏</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4765</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车牌识别补光灯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1206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车牌识别电源</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337</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车牌识别外壳及支架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2226</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数字力矩快速道闸（直杆）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博思高BSG-DZJ1R12</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6968</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快速电机</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3185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道闸控制板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1386</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机械链接部分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配套</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693</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限位接近开关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配套</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360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弹簧</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配套</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道闸杆（直杆）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配套</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850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道闸外壳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1386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数字式车辆检测器（雷达地感）</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博思高BSG-DGL109LD</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2918</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数字式车辆检测器（双环路）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博思高BSG-DGL109S</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3208</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车牌识别专用管理软件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博思高BSG-CPV5.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2504</w:t>
            </w:r>
            <w:r/>
          </w:p>
        </w:tc>
      </w:tr>
      <w:tr>
        <w:trPr>
          <w:jc w:val="center"/>
          <w:trHeight w:val="29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加密狗</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博思高BSG-GV03</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520</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网络交换机</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TP-LINK8口交换机</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650</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高级人行摆闸</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博思高BSG-BZ03S</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18138</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人脸识别仪</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博思高BSG-FT300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12980</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人脸录入高清摄像机</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奥尼C32</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702</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身份证阅读器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博思高BSG-SFZDK02</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3133</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博思高</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3845</w:t>
            </w:r>
            <w:r/>
          </w:p>
        </w:tc>
      </w:tr>
      <w:tr>
        <w:trPr>
          <w:jc w:val="center"/>
          <w:trHeight w:val="32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彩色防滑路面</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改性环氧树脂，陶瓷颗粒,国标</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125</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LED爆闪警示灯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双面,太阳能供电</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1266</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LED爆闪警示灯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四面,太阳能供电</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1624</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义警</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站立式,反光背心,底座贴反光膜</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1814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声光警示器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400*300*210充电式,红蓝爆闪</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2840</w:t>
            </w:r>
            <w:r/>
          </w:p>
        </w:tc>
      </w:tr>
      <w:tr>
        <w:trPr>
          <w:jc w:val="center"/>
          <w:trHeight w:val="34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太阳能语音提示器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190*290*100,红蓝爆闪,含立柱</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1544</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太阳能雷达实时车速警告标志</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800*1900,3位数显，含立杆</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6075</w:t>
            </w:r>
            <w:r/>
          </w:p>
        </w:tc>
      </w:tr>
      <w:tr>
        <w:trPr>
          <w:jc w:val="center"/>
          <w:trHeight w:val="4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便携式交通诱导屏</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屏体690*340*60,充电式,升降支架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1923</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宣传旗帜</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3㎡以下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面</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宣传旗帜竹竿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双股钢丝刺绳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丝径：2.1mm，热镀锌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双股钢丝刺绳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丝径：2.8mm，热镀锌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岗亭</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4150</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机非隔离护栏（钢片护栏）</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H300*W2573</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机非护栏立柱</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机非护栏墩子</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机非护栏接口</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34</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机非隔离护栏（钢片护栏）</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H1100*W2573</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280</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机非护栏立柱</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机非护栏墩子</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机非护栏接口</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34</w:t>
            </w:r>
            <w:r/>
          </w:p>
        </w:tc>
      </w:tr>
      <w:tr>
        <w:trPr>
          <w:jc w:val="center"/>
          <w:trHeight w:val="4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中心隔离护栏（钢片护栏-凤尾式）</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H1050*W2600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300</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中心护栏立柱</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200</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中心护栏墩子</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1.5寸水泥护栏穿管</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65</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人字型防撞水泥隔离墩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2000*800*450（带漆不含机械费）</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986</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两波护栏板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（4.32米）</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228</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圆管立柱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（Φ150*1600）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268</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防阻块</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58</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立柱帽</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托架</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34.87</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端头</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193</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花墩油漆修补</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平方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98</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拆除护栏</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安装护栏</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w:t>
            </w:r>
            <w:r/>
          </w:p>
        </w:tc>
      </w:tr>
      <w:tr>
        <w:trPr>
          <w:jc w:val="center"/>
          <w:trHeight w:val="4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b/>
                <w:bCs/>
                <w:color w:val="000000"/>
                <w:sz w:val="20"/>
                <w:szCs w:val="20"/>
                <w:lang w:bidi="ar"/>
              </w:rPr>
              <w:t xml:space="preserve">二</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b/>
                <w:bCs/>
                <w:color w:val="000000"/>
                <w:sz w:val="20"/>
                <w:szCs w:val="20"/>
                <w:lang w:bidi="ar"/>
              </w:rPr>
              <w:t xml:space="preserve">交通信号灯类</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r>
      <w:tr>
        <w:trPr>
          <w:jc w:val="center"/>
          <w:trHeight w:val="558"/>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10745</w:t>
            </w:r>
            <w:r/>
          </w:p>
        </w:tc>
      </w:tr>
      <w:tr>
        <w:trPr>
          <w:jc w:val="center"/>
          <w:trHeight w:val="588"/>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10966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11243</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11520</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主杆6.5米,臂厚8mm,横臂口径119-240,臂厚6mm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12073</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主杆6.5米,臂厚8mm,横臂口径119-240,臂厚6mm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12738</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主杆6.5米,臂厚8mm,横臂口径119-275,臂厚6mm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13852</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主杆6.5米,臂厚8mm,横臂口径119-275,臂厚6mm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15106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主杆6.5米,臂厚10mm,横臂口径119-300,臂厚6.5mm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18471</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主杆6.5米,臂厚10mm,横臂口径119-330,臂厚7mm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23151</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主杆7.5米,臂厚8mm,横臂口径119-200,臂厚5mm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11631</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主杆7.5米,臂厚8mm,横臂口径119-200,臂厚5mm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12017</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主杆7.5米,臂厚8mm,横臂口径119-200,臂厚5mm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12683</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主杆7.5米,臂厚8mm,横臂口径119-240,臂厚6mm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13160</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主杆7.5米,臂厚8mm,横臂口径119-240,臂厚6mm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14592</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主杆7.5米,臂厚8mm,横臂口径119-275,臂厚6mm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15844</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12米长挑臂信号灯杆（热镀锌）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主杆7.5米,臂厚8mm,横臂口径119-275,臂厚6mm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16726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6米2+1长挑臂信号灯杆（热镀锌喷灰塑色）</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主杆6.8米，臂厚10 mm，横臂6mm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47486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7米2+1长挑臂信号灯杆（热镀锌喷灰塑色）</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主杆6.8米，臂厚10 mm，横臂6mm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48786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8米2+1长挑臂信号灯杆（热镀锌喷灰塑色）</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主杆6.8米，臂厚10 mm，横臂6mm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49385</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9米2+1长挑臂信号灯杆（热镀锌喷灰塑色）</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主杆6.8米，臂厚10 mm，横臂6mm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52567</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10米2+1长挑臂信号灯杆（热镀锌喷灰塑色）</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主杆6.8米，臂厚10 mm，横臂6mm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55936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挑臂式信号灯立柱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主杆高6.5米,主杆口径300-368,臂厚8mm,八角型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8466</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挑臂式信号灯立柱(适用横臂16米)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主杆高6.5米,主杆口径360-450,臂厚10mm,八角型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12933</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2447</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2602</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2941</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横臂口径119-200,臂厚5mm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3217</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横臂口径119-240,臂厚6mm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3832</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横臂口径119-240,臂厚6mm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4550</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横臂口径119-275,臂厚6mm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5062</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横臂口径119-275,臂厚6mm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6537</w:t>
            </w:r>
            <w:r/>
          </w:p>
        </w:tc>
      </w:tr>
      <w:tr>
        <w:trPr>
          <w:jc w:val="center"/>
          <w:trHeight w:val="6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横臂口径119-300,臂厚6.5mm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10227</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16米长信号灯横臂</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横臂口径119-330,臂厚7mm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14348</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挑臂式信号灯基础件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8*27mm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1112</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一体化四联信号灯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8886</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一体化二联人行灯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9054</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一体化信号灯基础铁件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4*20mm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310</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三联LED信号灯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灯芯Φ300,无锡安邦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2601</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三联LED信号灯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灯芯Φ400,无锡安邦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2900</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三联LED公交信号灯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灯芯Φ300,无锡安邦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2998</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三联LED公交信号灯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灯芯Φ400,无锡安邦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3796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信号灯支架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热镀锌</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付</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144</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框式信号灯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Φ350, ,无锡安邦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3392</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框式公交灯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Φ350, ,无锡安邦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3136</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倒计时</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540LED,无锡安邦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4063</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LED人行信号灯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无锡安邦,不含倒计时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2087</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LED人行信号灯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无锡安邦,含倒计时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组</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2163</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人行信号灯立杆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Φ114*4*3000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886</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LED三联非机动车灯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灯芯Φ400,无锡安邦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3796</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太阳能黄闪灯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2156</w:t>
            </w:r>
            <w:r/>
          </w:p>
        </w:tc>
      </w:tr>
      <w:tr>
        <w:trPr>
          <w:jc w:val="center"/>
          <w:trHeight w:val="1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LED爆闪警示灯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双面太阳能供电</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1266</w:t>
            </w:r>
            <w:r/>
          </w:p>
        </w:tc>
      </w:tr>
      <w:tr>
        <w:trPr>
          <w:jc w:val="center"/>
          <w:trHeight w:val="4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LED爆闪警示灯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四面太阳能供电,600*300*130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1624</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LED条型爆闪警示灯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二节充电式</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463</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热成像行人检测器</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26435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行人检测器监控杆</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5895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LED注意行人警示屏</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5200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不锈钢挂杆小机箱</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650</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24V开关电源及电器</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450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不锈钢户外控制箱</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4718</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信号灯控制器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带GPS</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6724.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信号机手控开关</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59</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信号灯控制器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CW-2008</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4760</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信号灯控制器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TSC-23-48、网络型,无锡华通、普通型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28347</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信号灯控制器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TSC-23-48、网络型,无锡华通、加高型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29798</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信号灯辅助同步光带</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945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光带控制器</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无锡安邦</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5220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信号机基础及预埋件</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座</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331.5</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不锈钢户外公共机箱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700*380*1340含网络连接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21000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不锈钢户外公共机箱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700*380*1340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6256</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信号灯控制器联网</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15119</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kvv4*1.5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9</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kvv5*1.5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12</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kvv7*1.5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17</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kvv10*1.5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控制线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kvv16*1.5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vv22 2*4</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16.23</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vv22 2*6</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18.55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vv22 2*10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22.03</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vv 2*2.5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vv 3*2.5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网线</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超五类</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5.90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2寸乙烯管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21</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2寸硅芯管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2寸</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钢丝绳</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7</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挂钩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35#</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8</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花篮螺丝</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20mm</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55</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红满屏灯芯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559</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黄满屏灯芯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559</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绿满屏灯芯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765</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红满屏灯芯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783</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黄满屏灯芯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783</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绿满屏灯芯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995</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红箭头灯芯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427</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黄箭头灯芯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533</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绿箭头灯芯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726</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红箭头灯芯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506</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黄箭头灯芯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506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绿箭头灯芯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1027</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人行灯灯芯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300型,红人+绿倒计时</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821</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人行灯灯芯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300型,绿人</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754</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黄满屏+红绿倒计时复合灯芯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1567</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黄满屏+单色倒计时复合灯芯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1567</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黄满屏+红绿倒计时复合灯芯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2156</w:t>
            </w:r>
            <w:r/>
          </w:p>
        </w:tc>
      </w:tr>
      <w:tr>
        <w:trPr>
          <w:jc w:val="center"/>
          <w:trHeight w:val="10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黄满屏+单色倒计时复合灯芯</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Φ400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2156</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信号灯灯芯面框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Φ300灯芯面罩</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73</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信号灯防雨罩</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Φ300灯芯防雨罩</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104</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倒计时防雨罩</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163</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倒计时主板(电源板)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462</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倒计时像素筒</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101</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倒计时数码条</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根</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404.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倒计时芯片</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92</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倒计时转接板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95</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像素筒电源板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520</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箭头灯电源板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520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模块电源</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153</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黄闪控制器</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1209</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TS-23-48信号灯电源板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1848</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TS-23-48信号机主控板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5496</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TSC-23-48信号机灯驱板</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2024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TSC-23-48信号机箱主门锁</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把</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187</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TSC-23-48信号机箱下(侧)门锁</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把</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96</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TSC-23-48信号机手控开关</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364</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TSC-23-48信号机遥控器</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2542</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第一代信号机硬件升级</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1882</w:t>
            </w:r>
            <w:r/>
          </w:p>
        </w:tc>
      </w:tr>
      <w:tr>
        <w:trPr>
          <w:jc w:val="center"/>
          <w:trHeight w:val="1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第二代信号机硬件升级</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1379</w:t>
            </w:r>
            <w:r/>
          </w:p>
        </w:tc>
      </w:tr>
      <w:tr>
        <w:trPr>
          <w:jc w:val="center"/>
          <w:trHeight w:val="17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信号机升级模块</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13552</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TSC-23-48信号机初装调试</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5820</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TSC-23-48信号机调试</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2500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信号灯配时表</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份</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119</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5（20）A电度表</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92</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C452P开关</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65</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8口交换机</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304</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信号机主控电子盘</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526</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开挖普通路面</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19</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开挖坚土路面</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开挖柏油路面</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m2</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346</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开挖水泥路面</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m2</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266</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139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开挖道板路面</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m2</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300</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接线窨井砌砖粉水泥</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693</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接线窨井盖</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193</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接线窨井盖</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加强型</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233</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顶管(双管)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顶PE50管</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135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顶管(单管)</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顶PE50管</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85</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吊机机械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929</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吊机机械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464</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升降车机械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514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升降车机械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257</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工程车辆机械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547</w:t>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工程车辆机械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290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焊接机械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648</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焊接机械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324</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气割机械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台班</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648</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气割机械</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324</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155</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信号灯发电</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机械及人工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天</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231</w:t>
            </w:r>
            <w:r/>
          </w:p>
        </w:tc>
      </w:tr>
      <w:tr>
        <w:trPr>
          <w:jc w:val="center"/>
          <w:trHeight w:val="22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156</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信号灯修理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机械及人工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266</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157</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修剪树枝</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机械及人工</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次</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sz w:val="20"/>
                <w:szCs w:val="20"/>
              </w:rPr>
              <w:t xml:space="preserve">266</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158</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人工</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工</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300</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159</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自动存储和自主巡检模块</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套</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3000</w:t>
            </w:r>
            <w:r/>
          </w:p>
        </w:tc>
      </w:tr>
      <w:tr>
        <w:trPr>
          <w:jc w:val="center"/>
          <w:trHeight w:val="1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160</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接地热镀锌角钢</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L40×40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38.42</w:t>
            </w:r>
            <w:r/>
          </w:p>
        </w:tc>
      </w:tr>
      <w:tr>
        <w:trPr>
          <w:jc w:val="center"/>
          <w:trHeight w:val="25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161</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接地热镀锌角钢</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L50×50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57.88</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162</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接地热镀锌扁钢</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30×3</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12.65</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163</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接地热镀锌扁钢</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40×4</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20.91</w:t>
            </w:r>
            <w:r/>
          </w:p>
        </w:tc>
      </w:tr>
      <w:tr>
        <w:trPr>
          <w:jc w:val="center"/>
          <w:trHeight w:val="26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164</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电缆</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bv 1*6、黄绿双色，含接线端头</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米</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10.02</w:t>
            </w:r>
            <w:r/>
          </w:p>
        </w:tc>
      </w:tr>
      <w:tr>
        <w:trPr>
          <w:jc w:val="center"/>
          <w:trHeight w:val="447"/>
        </w:trPr>
        <w:tc>
          <w:tcPr>
            <w:tcW w:w="399"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b/>
                <w:bCs/>
                <w:color w:val="000000"/>
                <w:sz w:val="20"/>
                <w:szCs w:val="20"/>
                <w:lang w:bidi="ar"/>
              </w:rPr>
              <w:t xml:space="preserve">三</w:t>
            </w:r>
            <w:r/>
          </w:p>
        </w:tc>
        <w:tc>
          <w:tcPr>
            <w:tcW w:w="1492"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b/>
                <w:bCs/>
                <w:color w:val="000000"/>
                <w:sz w:val="20"/>
                <w:szCs w:val="20"/>
                <w:lang w:bidi="ar"/>
              </w:rPr>
              <w:t xml:space="preserve">智能交通类</w:t>
            </w:r>
            <w:r/>
          </w:p>
        </w:tc>
        <w:tc>
          <w:tcPr>
            <w:tcW w:w="151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35"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460"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c>
          <w:tcPr>
            <w:tcW w:w="697" w:type="pct"/>
            <w:vAlign w:val="center"/>
            <w:textDirection w:val="lrTb"/>
            <w:noWrap w:val="false"/>
          </w:tcPr>
          <w:p>
            <w:pPr>
              <w:jc w:val="center"/>
              <w:rPr>
                <w:rFonts w:asciiTheme="minorEastAsia" w:hAnsiTheme="minorEastAsia" w:eastAsiaTheme="minorEastAsia" w:cstheme="minorEastAsia"/>
                <w:color w:val="000000"/>
                <w:sz w:val="20"/>
                <w:szCs w:val="20"/>
                <w:lang w:bidi="ar"/>
              </w:rPr>
            </w:pPr>
            <w:r>
              <w:rPr>
                <w:rFonts w:asciiTheme="minorEastAsia" w:hAnsiTheme="minorEastAsia" w:eastAsiaTheme="minorEastAsia" w:cstheme="minorEastAsia"/>
                <w:color w:val="000000"/>
                <w:sz w:val="20"/>
                <w:szCs w:val="20"/>
                <w:lang w:bidi="ar"/>
              </w:rPr>
            </w:r>
            <w:r/>
          </w:p>
        </w:tc>
      </w:tr>
      <w:tr>
        <w:trPr>
          <w:jc w:val="center"/>
          <w:trHeight w:val="117"/>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电子智能自发光防摩擦警示柱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（YX-AA0-0301)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2250</w:t>
            </w:r>
            <w:r/>
          </w:p>
        </w:tc>
      </w:tr>
      <w:tr>
        <w:trPr>
          <w:jc w:val="center"/>
          <w:trHeight w:val="192"/>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2</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路口智能化红外语音警示柱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(YX-AA0-0101)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4800</w:t>
            </w:r>
            <w:r/>
          </w:p>
        </w:tc>
      </w:tr>
      <w:tr>
        <w:trPr>
          <w:jc w:val="center"/>
          <w:trHeight w:val="357"/>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3</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电子新型面光源靠右行驶 标志警示柱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(YX-AB0-0101)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4425</w:t>
            </w:r>
            <w:r/>
          </w:p>
        </w:tc>
      </w:tr>
      <w:tr>
        <w:trPr>
          <w:jc w:val="center"/>
          <w:trHeight w:val="237"/>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4</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智能新型太阳能发光警示柱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（YX-AA0-0801）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2475</w:t>
            </w:r>
            <w:r/>
          </w:p>
        </w:tc>
      </w:tr>
      <w:tr>
        <w:trPr>
          <w:jc w:val="center"/>
          <w:trHeight w:val="312"/>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5</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电子新型面光源机非分道 标志警示柱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(YX-AB0-0201)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5025</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6</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智能无线发光道钉（受控闪烁）</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（YX-AD0-0101）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765</w:t>
            </w:r>
            <w:r/>
          </w:p>
        </w:tc>
      </w:tr>
      <w:tr>
        <w:trPr>
          <w:jc w:val="center"/>
          <w:trHeight w:val="282"/>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7</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电子智能无线发光道钉（不受控闪烁）</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（YX-AD0-0201）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675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8</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智能信号灯同步匀光道钉</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（YX-AD0-0301）</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2325</w:t>
            </w:r>
            <w:r/>
          </w:p>
        </w:tc>
      </w:tr>
      <w:tr>
        <w:trPr>
          <w:jc w:val="center"/>
          <w:trHeight w:val="132"/>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9</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智能圆形主动发光标志牌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直径800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2100</w:t>
            </w:r>
            <w:r/>
          </w:p>
        </w:tc>
      </w:tr>
      <w:tr>
        <w:trPr>
          <w:jc w:val="center"/>
          <w:trHeight w:val="162"/>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10</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智能方形主动发光标志牌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800*800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2100</w:t>
            </w:r>
            <w:r/>
          </w:p>
        </w:tc>
      </w:tr>
      <w:tr>
        <w:trPr>
          <w:jc w:val="center"/>
          <w:trHeight w:val="207"/>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11</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智能三角形主动发光标志牌</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900*900</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1905</w:t>
            </w:r>
            <w:r/>
          </w:p>
        </w:tc>
      </w:tr>
      <w:tr>
        <w:trPr>
          <w:jc w:val="center"/>
          <w:trHeight w:val="90"/>
        </w:trPr>
        <w:tc>
          <w:tcPr>
            <w:tcW w:w="399"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12</w:t>
            </w:r>
            <w:r/>
          </w:p>
        </w:tc>
        <w:tc>
          <w:tcPr>
            <w:tcW w:w="1492" w:type="pct"/>
            <w:vAlign w:val="center"/>
            <w:textDirection w:val="lrTb"/>
            <w:noWrap w:val="false"/>
          </w:tcPr>
          <w:p>
            <w:pPr>
              <w:jc w:val="center"/>
              <w:widowControl/>
              <w:rPr>
                <w:rFonts w:asciiTheme="minorEastAsia" w:hAnsiTheme="minorEastAsia" w:eastAsiaTheme="minorEastAsia" w:cstheme="minorEastAsia"/>
                <w:b/>
                <w:bCs/>
                <w:color w:val="000000"/>
                <w:sz w:val="20"/>
                <w:szCs w:val="20"/>
                <w:lang w:bidi="ar"/>
              </w:rPr>
            </w:pPr>
            <w:r>
              <w:rPr>
                <w:rFonts w:hint="eastAsia" w:asciiTheme="minorEastAsia" w:hAnsiTheme="minorEastAsia" w:eastAsiaTheme="minorEastAsia" w:cstheme="minorEastAsia"/>
                <w:color w:val="000000"/>
                <w:sz w:val="20"/>
                <w:szCs w:val="20"/>
                <w:lang w:bidi="ar"/>
              </w:rPr>
              <w:t xml:space="preserve">智能全自动液压升降柱</w:t>
            </w:r>
            <w:r/>
          </w:p>
        </w:tc>
        <w:tc>
          <w:tcPr>
            <w:tcW w:w="151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600*217</w:t>
            </w:r>
            <w:r/>
          </w:p>
        </w:tc>
        <w:tc>
          <w:tcPr>
            <w:tcW w:w="435"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个</w:t>
            </w:r>
            <w:r/>
          </w:p>
        </w:tc>
        <w:tc>
          <w:tcPr>
            <w:tcW w:w="460"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w:t>
            </w:r>
            <w:r/>
          </w:p>
        </w:tc>
        <w:tc>
          <w:tcPr>
            <w:tcW w:w="697" w:type="pct"/>
            <w:vAlign w:val="center"/>
            <w:textDirection w:val="lrTb"/>
            <w:noWrap w:val="false"/>
          </w:tcPr>
          <w:p>
            <w:pPr>
              <w:jc w:val="center"/>
              <w:widowControl/>
              <w:rPr>
                <w:rFonts w:asciiTheme="minorEastAsia" w:hAnsiTheme="minorEastAsia" w:eastAsiaTheme="minorEastAsia" w:cstheme="minorEastAsia"/>
                <w:color w:val="000000"/>
                <w:sz w:val="20"/>
                <w:szCs w:val="20"/>
                <w:lang w:bidi="ar"/>
              </w:rPr>
            </w:pPr>
            <w:r>
              <w:rPr>
                <w:rFonts w:hint="eastAsia" w:asciiTheme="minorEastAsia" w:hAnsiTheme="minorEastAsia" w:eastAsiaTheme="minorEastAsia" w:cstheme="minorEastAsia"/>
                <w:color w:val="000000"/>
                <w:sz w:val="20"/>
                <w:szCs w:val="20"/>
                <w:lang w:bidi="ar"/>
              </w:rPr>
              <w:t xml:space="preserve">14800</w:t>
            </w:r>
            <w:r/>
          </w:p>
        </w:tc>
      </w:tr>
    </w:tbl>
    <w:p>
      <w:pPr>
        <w:ind w:firstLine="630"/>
        <w:jc w:val="left"/>
        <w:spacing w:line="360" w:lineRule="auto"/>
        <w:rPr>
          <w:rFonts w:ascii="宋体" w:hAnsi="宋体" w:cs="宋体"/>
          <w:szCs w:val="21"/>
        </w:rPr>
      </w:pPr>
      <w:r>
        <w:rPr>
          <w:rFonts w:hint="eastAsia" w:ascii="宋体" w:hAnsi="宋体" w:cs="宋体"/>
          <w:szCs w:val="21"/>
        </w:rPr>
        <w:t xml:space="preserve">注：1）机械、人工费不与材料单独重复计算；</w:t>
      </w:r>
      <w:r/>
    </w:p>
    <w:p>
      <w:pPr>
        <w:ind w:firstLine="630"/>
        <w:jc w:val="left"/>
        <w:spacing w:line="360" w:lineRule="auto"/>
        <w:rPr>
          <w:rFonts w:ascii="宋体" w:hAnsi="宋体" w:cs="宋体"/>
          <w:szCs w:val="21"/>
        </w:rPr>
      </w:pPr>
      <w:r>
        <w:rPr>
          <w:rFonts w:hint="eastAsia" w:ascii="宋体" w:hAnsi="宋体" w:cs="宋体"/>
          <w:szCs w:val="21"/>
        </w:rPr>
        <w:t xml:space="preserve">2）每一子项的综合报价已含：材料费、人工费、机械费、管理费、安全文明施工费、夜间施工费、冬雨季施工费、规费、税金、企业管理费及利润等其他一切费用；</w:t>
      </w:r>
      <w:r/>
    </w:p>
    <w:p>
      <w:pPr>
        <w:ind w:firstLine="630"/>
        <w:jc w:val="left"/>
        <w:spacing w:line="360" w:lineRule="auto"/>
        <w:rPr>
          <w:rFonts w:ascii="宋体" w:hAnsi="宋体" w:cs="宋体"/>
          <w:szCs w:val="21"/>
        </w:rPr>
      </w:pPr>
      <w:r>
        <w:rPr>
          <w:rFonts w:hint="eastAsia" w:ascii="宋体" w:hAnsi="宋体" w:cs="宋体"/>
          <w:b/>
          <w:bCs/>
          <w:szCs w:val="21"/>
        </w:rPr>
        <w:t xml:space="preserve">3）项目实施过程中若发现有清单内没有的工程内容，则按实际工程量参照当期同类市场价结算（最终以甲方（或监理）确认的工程量为准）。</w:t>
      </w:r>
      <w:r/>
    </w:p>
    <w:p>
      <w:pPr>
        <w:ind w:left="420"/>
        <w:jc w:val="left"/>
        <w:spacing w:line="360" w:lineRule="auto"/>
        <w:rPr>
          <w:rFonts w:ascii="宋体" w:hAnsi="宋体" w:cs="宋体"/>
          <w:szCs w:val="21"/>
        </w:rPr>
      </w:pPr>
      <w:r>
        <w:rPr>
          <w:rFonts w:hint="eastAsia" w:ascii="宋体" w:hAnsi="宋体" w:cs="宋体"/>
          <w:b/>
          <w:bCs/>
          <w:szCs w:val="21"/>
        </w:rPr>
        <w:t xml:space="preserve">2、项目执行标准：</w:t>
      </w:r>
      <w:r>
        <w:rPr>
          <w:rFonts w:hint="eastAsia" w:ascii="宋体" w:hAnsi="宋体" w:cs="宋体"/>
          <w:szCs w:val="21"/>
        </w:rPr>
        <w:br/>
        <w:t xml:space="preserve">1）交通信号灯设置与安装规范需符合国家标准GB14886-2006规定；</w:t>
      </w:r>
      <w:r>
        <w:rPr>
          <w:rFonts w:hint="eastAsia" w:ascii="宋体" w:hAnsi="宋体" w:cs="宋体"/>
          <w:szCs w:val="21"/>
        </w:rPr>
        <w:br/>
        <w:t xml:space="preserve">2）道路交通信号机安装规范需符合国家标准GB25280-2010规定；</w:t>
      </w:r>
      <w:r>
        <w:rPr>
          <w:rFonts w:hint="eastAsia" w:ascii="宋体" w:hAnsi="宋体" w:cs="宋体"/>
          <w:szCs w:val="21"/>
        </w:rPr>
        <w:br/>
        <w:t xml:space="preserve">3）道路标线涂料各类型的技术指标需符合GA/T298-2001《道路标线涂料》的要求；</w:t>
      </w:r>
      <w:r>
        <w:rPr>
          <w:rFonts w:hint="eastAsia" w:ascii="宋体" w:hAnsi="宋体" w:cs="宋体"/>
          <w:szCs w:val="21"/>
        </w:rPr>
        <w:br/>
        <w:t xml:space="preserve">4）道路交通标志和标线需符合国家标准GB5768-2009规定。</w:t>
      </w:r>
      <w:r/>
    </w:p>
    <w:p>
      <w:pPr>
        <w:ind w:firstLine="422"/>
        <w:jc w:val="left"/>
        <w:spacing w:line="360" w:lineRule="auto"/>
        <w:rPr>
          <w:rFonts w:ascii="宋体" w:hAnsi="宋体" w:cs="宋体"/>
          <w:szCs w:val="21"/>
        </w:rPr>
      </w:pPr>
      <w:r>
        <w:rPr>
          <w:rFonts w:hint="eastAsia" w:ascii="宋体" w:hAnsi="宋体" w:cs="宋体"/>
          <w:b/>
          <w:bCs/>
          <w:szCs w:val="21"/>
        </w:rPr>
        <w:t xml:space="preserve">注：服务供应商在服务过程中，应遵循其他相关法律法规要求，如相关法律法规有最新变更，则按最新一版执行。</w:t>
      </w:r>
      <w:r/>
    </w:p>
    <w:p>
      <w:pPr>
        <w:ind w:right="-178" w:firstLine="420"/>
        <w:spacing w:line="360" w:lineRule="auto"/>
        <w:tabs>
          <w:tab w:val="left" w:pos="0" w:leader="none"/>
        </w:tabs>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3、服务要求</w:t>
      </w:r>
      <w:r/>
    </w:p>
    <w:p>
      <w:pPr>
        <w:ind w:firstLine="420"/>
        <w:jc w:val="left"/>
        <w:spacing w:line="360" w:lineRule="auto"/>
        <w:rPr>
          <w:rFonts w:ascii="宋体" w:cs="方正仿宋_GBK"/>
          <w:szCs w:val="21"/>
        </w:rPr>
      </w:pPr>
      <w:r>
        <w:rPr>
          <w:rFonts w:hint="eastAsia" w:ascii="宋体" w:hAnsi="宋体" w:cs="宋体"/>
          <w:b/>
          <w:bCs/>
          <w:szCs w:val="21"/>
        </w:rPr>
        <w:t xml:space="preserve">1）维护保养（或修理）的基本服务流程：</w:t>
      </w:r>
      <w:r/>
    </w:p>
    <w:p>
      <w:pPr>
        <w:ind w:firstLine="420"/>
        <w:jc w:val="left"/>
        <w:spacing w:line="360" w:lineRule="auto"/>
        <w:rPr>
          <w:rFonts w:ascii="宋体" w:cs="方正仿宋_GBK"/>
          <w:szCs w:val="21"/>
        </w:rPr>
      </w:pPr>
      <w:r>
        <w:rPr>
          <w:rFonts w:hint="eastAsia" w:ascii="宋体" w:cs="方正仿宋_GBK"/>
          <w:szCs w:val="21"/>
        </w:rPr>
        <w:t xml:space="preserve">（1）</w:t>
      </w:r>
      <w:r>
        <w:rPr>
          <w:rFonts w:hint="eastAsia" w:ascii="宋体" w:hAnsi="宋体" w:cs="宋体"/>
          <w:bCs/>
          <w:szCs w:val="21"/>
        </w:rPr>
        <w:t xml:space="preserve">交通设施一般维护（或修理）流程</w:t>
      </w:r>
      <w:r>
        <w:rPr>
          <w:rFonts w:hint="eastAsia" w:ascii="宋体" w:cs="方正仿宋_GBK"/>
          <w:szCs w:val="21"/>
        </w:rPr>
        <w:t xml:space="preserve">：</w:t>
      </w:r>
      <w:r/>
    </w:p>
    <w:p>
      <w:pPr>
        <w:ind w:firstLine="420"/>
        <w:jc w:val="left"/>
        <w:spacing w:line="360" w:lineRule="auto"/>
        <w:rPr>
          <w:rFonts w:ascii="宋体" w:cs="方正仿宋_GBK"/>
          <w:szCs w:val="21"/>
        </w:rPr>
      </w:pPr>
      <w:r>
        <w:rPr>
          <w:rFonts w:hint="eastAsia" w:ascii="宋体" w:hAnsi="宋体" w:cs="宋体"/>
          <w:bCs/>
          <w:szCs w:val="21"/>
        </w:rPr>
        <w:t xml:space="preserve">日常巡检发现（或接到通知）</w:t>
      </w:r>
      <w:r>
        <w:rPr>
          <w:rFonts w:hint="eastAsia" w:ascii="宋体" w:cs="方正仿宋_GBK"/>
          <w:szCs w:val="21"/>
        </w:rPr>
        <w:t xml:space="preserve">→ 1</w:t>
      </w:r>
      <w:r>
        <w:rPr>
          <w:rFonts w:ascii="宋体" w:cs="方正仿宋_GBK"/>
          <w:szCs w:val="21"/>
        </w:rPr>
        <w:t xml:space="preserve">0</w:t>
      </w:r>
      <w:r>
        <w:rPr>
          <w:rFonts w:hint="eastAsia" w:ascii="宋体" w:cs="方正仿宋_GBK"/>
          <w:szCs w:val="21"/>
        </w:rPr>
        <w:t xml:space="preserve">分钟内响应→ 30分钟内到达现场先行拍照、记录并将具体情况电话报告招标管理人员→ 得到管理人员许可后进行相关作业，作业时服务商应同时通知监理单位到现场确认→ 每周将交通设施维护保养（或修理）工程量签证单（附打印照片）送至监理单位及招标人复核工程量及金额→ 招标人进行再次复查后进行签证确认。</w:t>
      </w:r>
      <w:r/>
    </w:p>
    <w:p>
      <w:pPr>
        <w:ind w:firstLine="420"/>
        <w:jc w:val="left"/>
        <w:spacing w:line="360" w:lineRule="auto"/>
        <w:rPr>
          <w:rFonts w:ascii="宋体" w:cs="方正仿宋_GBK"/>
          <w:szCs w:val="21"/>
        </w:rPr>
      </w:pPr>
      <w:r>
        <w:rPr>
          <w:rFonts w:hint="eastAsia" w:ascii="宋体" w:cs="方正仿宋_GBK"/>
          <w:szCs w:val="21"/>
        </w:rPr>
        <w:t xml:space="preserve">（2）交通设施应急抢修流程：</w:t>
      </w:r>
      <w:r/>
    </w:p>
    <w:p>
      <w:pPr>
        <w:ind w:firstLine="420"/>
        <w:jc w:val="left"/>
        <w:spacing w:line="360" w:lineRule="auto"/>
        <w:rPr>
          <w:rFonts w:ascii="宋体" w:cs="方正仿宋_GBK"/>
          <w:szCs w:val="21"/>
        </w:rPr>
      </w:pPr>
      <w:r>
        <w:rPr>
          <w:rFonts w:hint="eastAsia" w:ascii="宋体" w:hAnsi="宋体" w:cs="宋体"/>
          <w:bCs/>
          <w:szCs w:val="21"/>
        </w:rPr>
        <w:t xml:space="preserve">日常巡检发现（或接到通知）</w:t>
      </w:r>
      <w:r>
        <w:rPr>
          <w:rFonts w:hint="eastAsia" w:ascii="宋体" w:cs="方正仿宋_GBK"/>
          <w:szCs w:val="21"/>
        </w:rPr>
        <w:t xml:space="preserve">→ 1</w:t>
      </w:r>
      <w:r>
        <w:rPr>
          <w:rFonts w:ascii="宋体" w:cs="方正仿宋_GBK"/>
          <w:szCs w:val="21"/>
        </w:rPr>
        <w:t xml:space="preserve">0</w:t>
      </w:r>
      <w:r>
        <w:rPr>
          <w:rFonts w:hint="eastAsia" w:ascii="宋体" w:cs="方正仿宋_GBK"/>
          <w:szCs w:val="21"/>
        </w:rPr>
        <w:t xml:space="preserve">分钟内响应→ 30分钟内到达现场先行拍照、记录并将具体情况电话报告招标管理人员→ 得到管理人员许可后进行相关作业，作业时服务商应同时通知监理单位到现场确认→ 每周将交通设施抢修工程量签证单（附打印照片）送至监理单位及招标人复核工程量及金额→ 招标人进行再次复查后进行签证确认。</w:t>
      </w:r>
      <w:r/>
    </w:p>
    <w:p>
      <w:pPr>
        <w:ind w:firstLine="420"/>
        <w:jc w:val="left"/>
        <w:spacing w:line="360" w:lineRule="auto"/>
        <w:rPr>
          <w:rFonts w:ascii="宋体" w:cs="方正仿宋_GBK"/>
          <w:szCs w:val="21"/>
        </w:rPr>
      </w:pPr>
      <w:r>
        <w:rPr>
          <w:rFonts w:hint="eastAsia" w:ascii="宋体" w:cs="方正仿宋_GBK"/>
          <w:szCs w:val="21"/>
        </w:rPr>
        <w:t xml:space="preserve">（3）因交通事故等情形导致交通设施损坏抢修流程：</w:t>
      </w:r>
      <w:r/>
    </w:p>
    <w:p>
      <w:pPr>
        <w:ind w:right="-178" w:firstLine="420"/>
        <w:spacing w:line="360" w:lineRule="auto"/>
        <w:tabs>
          <w:tab w:val="left" w:pos="0" w:leader="none"/>
        </w:tabs>
        <w:rPr>
          <w:rFonts w:asciiTheme="minorEastAsia" w:hAnsiTheme="minorEastAsia" w:cstheme="minorEastAsia"/>
          <w:b/>
          <w:bCs/>
          <w:color w:val="000000"/>
          <w:szCs w:val="21"/>
        </w:rPr>
      </w:pPr>
      <w:r>
        <w:rPr>
          <w:rFonts w:hint="eastAsia" w:ascii="宋体" w:hAnsi="宋体" w:cs="宋体"/>
          <w:bCs/>
          <w:szCs w:val="21"/>
        </w:rPr>
        <w:t xml:space="preserve">日常巡检发现（或接到通知）</w:t>
      </w:r>
      <w:r>
        <w:rPr>
          <w:rFonts w:hint="eastAsia" w:ascii="宋体" w:cs="方正仿宋_GBK"/>
          <w:szCs w:val="21"/>
        </w:rPr>
        <w:t xml:space="preserve">→10分钟内响应→ 30分钟内到达现场先行拍照、记录并将具体情况电话报告招标管理人员→得到管理人员许可后进行相关作业，作业时服务商应同时通知监理单位、属地交警中队到现场取证→制作相关维修费用清单报属地交警中队，按照交通事故等相关规定处理。</w:t>
      </w:r>
      <w:r/>
    </w:p>
    <w:p>
      <w:pPr>
        <w:ind w:firstLine="422"/>
        <w:spacing w:line="360" w:lineRule="auto"/>
        <w:rPr>
          <w:rFonts w:ascii="宋体" w:hAnsi="宋体" w:cs="宋体"/>
          <w:b/>
          <w:bCs/>
          <w:szCs w:val="21"/>
        </w:rPr>
      </w:pPr>
      <w:r>
        <w:rPr>
          <w:rFonts w:hint="eastAsia" w:ascii="宋体" w:hAnsi="宋体" w:cs="宋体"/>
          <w:b/>
          <w:bCs/>
          <w:szCs w:val="21"/>
        </w:rPr>
        <w:t xml:space="preserve">2）维修保养（或修理）工作安全要求：</w:t>
      </w:r>
      <w:r/>
    </w:p>
    <w:p>
      <w:pPr>
        <w:ind w:firstLine="420"/>
        <w:jc w:val="left"/>
        <w:spacing w:line="360" w:lineRule="auto"/>
        <w:rPr>
          <w:rFonts w:ascii="宋体" w:cs="方正仿宋_GBK"/>
          <w:szCs w:val="21"/>
        </w:rPr>
      </w:pPr>
      <w:r>
        <w:rPr>
          <w:rFonts w:hint="eastAsia" w:ascii="宋体" w:cs="方正仿宋_GBK"/>
          <w:szCs w:val="21"/>
        </w:rPr>
        <w:t xml:space="preserve">（1）做好维修保养队伍的安全管理，维修保养人员应遵守作业现场的规章制度，安全文明施工。项目实施过程中发生伤亡事故的，中标人承担全部责任,招标人不承担任何责任。</w:t>
      </w:r>
      <w:r/>
    </w:p>
    <w:p>
      <w:pPr>
        <w:ind w:firstLine="420"/>
        <w:jc w:val="left"/>
        <w:spacing w:line="360" w:lineRule="auto"/>
        <w:rPr>
          <w:rFonts w:ascii="宋体" w:cs="方正仿宋_GBK"/>
          <w:szCs w:val="21"/>
        </w:rPr>
      </w:pPr>
      <w:r>
        <w:rPr>
          <w:rFonts w:hint="eastAsia" w:ascii="宋体" w:cs="方正仿宋_GBK"/>
          <w:szCs w:val="21"/>
        </w:rPr>
        <w:t xml:space="preserve">（2）维修保养人员、施工机械在运输装卸途中对其他设备及邻近设施等造成损坏的，中标人负责修复并承担一切费用。</w:t>
      </w:r>
      <w:r/>
    </w:p>
    <w:p>
      <w:pPr>
        <w:ind w:firstLine="420"/>
        <w:jc w:val="left"/>
        <w:spacing w:line="360" w:lineRule="auto"/>
        <w:rPr>
          <w:rFonts w:ascii="宋体" w:cs="方正仿宋_GBK"/>
          <w:szCs w:val="21"/>
        </w:rPr>
      </w:pPr>
      <w:r>
        <w:rPr>
          <w:rFonts w:hint="eastAsia" w:ascii="宋体" w:cs="方正仿宋_GBK"/>
          <w:szCs w:val="21"/>
        </w:rPr>
        <w:t xml:space="preserve">（3）维修保养期间，中标人负责及时清理现场。</w:t>
      </w:r>
      <w:r/>
    </w:p>
    <w:p>
      <w:pPr>
        <w:ind w:firstLine="420"/>
        <w:jc w:val="left"/>
        <w:spacing w:line="360" w:lineRule="auto"/>
        <w:rPr>
          <w:rFonts w:ascii="宋体" w:cs="方正仿宋_GBK"/>
          <w:szCs w:val="21"/>
        </w:rPr>
      </w:pPr>
      <w:r>
        <w:rPr>
          <w:rFonts w:hint="eastAsia" w:ascii="宋体" w:cs="方正仿宋_GBK"/>
          <w:szCs w:val="21"/>
        </w:rPr>
        <w:t xml:space="preserve">（4）服务过程中应保护现场已存在的公共设施，如有损坏，中标人负责恢复或赔偿。</w:t>
      </w:r>
      <w:r/>
    </w:p>
    <w:p>
      <w:pPr>
        <w:ind w:firstLine="420"/>
        <w:jc w:val="left"/>
        <w:spacing w:line="360" w:lineRule="auto"/>
        <w:rPr>
          <w:rFonts w:ascii="宋体" w:cs="方正仿宋_GBK"/>
          <w:szCs w:val="21"/>
        </w:rPr>
      </w:pPr>
      <w:r>
        <w:rPr>
          <w:rFonts w:hint="eastAsia" w:ascii="宋体" w:cs="方正仿宋_GBK"/>
          <w:szCs w:val="21"/>
        </w:rPr>
        <w:t xml:space="preserve">3）定期例行维护:定期进行巡检工作（每季度不少于一次），并详细填写巡检记录单，巡检记录单格式由中标人拟定，招标人核实；恶劣天气或特殊情况，中标人应及时增加巡检次数，确保设备（设施）正常运行。因日常巡检不到位、修复不及时等原因引发的事故均由中标人承担相应责任。</w:t>
      </w:r>
      <w:r/>
    </w:p>
    <w:p>
      <w:pPr>
        <w:ind w:firstLine="420"/>
        <w:jc w:val="left"/>
        <w:spacing w:line="360" w:lineRule="auto"/>
        <w:rPr>
          <w:rFonts w:ascii="宋体" w:cs="方正仿宋_GBK"/>
          <w:szCs w:val="21"/>
        </w:rPr>
      </w:pPr>
      <w:r>
        <w:rPr>
          <w:rFonts w:hint="eastAsia" w:ascii="宋体" w:cs="方正仿宋_GBK"/>
          <w:szCs w:val="21"/>
        </w:rPr>
        <w:t xml:space="preserve">4）故障发生时，中标人必须立即采取有效措施排除故障，不得以任何理由拖延、推诿和隐瞒。</w:t>
      </w:r>
      <w:r/>
    </w:p>
    <w:p>
      <w:pPr>
        <w:ind w:firstLine="420"/>
        <w:jc w:val="left"/>
        <w:spacing w:line="360" w:lineRule="auto"/>
        <w:rPr>
          <w:rFonts w:ascii="宋体" w:cs="方正仿宋_GBK"/>
          <w:szCs w:val="21"/>
        </w:rPr>
      </w:pPr>
      <w:r>
        <w:rPr>
          <w:rFonts w:hint="eastAsia" w:ascii="宋体" w:cs="方正仿宋_GBK"/>
          <w:szCs w:val="21"/>
        </w:rPr>
        <w:t xml:space="preserve">5）制定维护计划，建立维护档案，每月及时向招标人上报档案资料：</w:t>
      </w:r>
      <w:r/>
    </w:p>
    <w:p>
      <w:pPr>
        <w:ind w:firstLine="420"/>
        <w:jc w:val="left"/>
        <w:spacing w:line="360" w:lineRule="auto"/>
        <w:rPr>
          <w:rFonts w:ascii="宋体" w:cs="方正仿宋_GBK"/>
          <w:szCs w:val="21"/>
        </w:rPr>
      </w:pPr>
      <w:r>
        <w:rPr>
          <w:rFonts w:hint="eastAsia" w:ascii="宋体" w:cs="方正仿宋_GBK"/>
          <w:szCs w:val="21"/>
        </w:rPr>
        <w:t xml:space="preserve">（1）妥善保管各种图纸、说明书和有关资料，集中存放，由专人定期整理，保证技术资料、原始记录齐全。设备调拨时有关资料应随机转移，不得扣留或抽取插页。</w:t>
      </w:r>
      <w:r/>
    </w:p>
    <w:p>
      <w:pPr>
        <w:ind w:firstLine="420"/>
        <w:jc w:val="left"/>
        <w:spacing w:line="360" w:lineRule="auto"/>
        <w:rPr>
          <w:rFonts w:ascii="宋体" w:cs="方正仿宋_GBK"/>
          <w:szCs w:val="21"/>
        </w:rPr>
      </w:pPr>
      <w:r>
        <w:rPr>
          <w:rFonts w:hint="eastAsia" w:ascii="宋体" w:cs="方正仿宋_GBK"/>
          <w:szCs w:val="21"/>
        </w:rPr>
        <w:t xml:space="preserve">（2）建立企业定期维护记录表及维护日志，妥善保存启用、停用、大修、故障及重要测试数据。</w:t>
      </w:r>
      <w:r/>
    </w:p>
    <w:p>
      <w:pPr>
        <w:ind w:firstLine="420"/>
        <w:jc w:val="left"/>
        <w:spacing w:line="360" w:lineRule="auto"/>
        <w:rPr>
          <w:rFonts w:ascii="宋体" w:cs="方正仿宋_GBK"/>
          <w:szCs w:val="21"/>
        </w:rPr>
      </w:pPr>
      <w:r>
        <w:rPr>
          <w:rFonts w:hint="eastAsia" w:ascii="宋体" w:cs="方正仿宋_GBK"/>
          <w:szCs w:val="21"/>
        </w:rPr>
        <w:t xml:space="preserve">（3）各种记录数据在当月工作完成后要及时整理。作业计划、报表和记录要装订成册，标识明确。</w:t>
      </w:r>
      <w:r/>
    </w:p>
    <w:p>
      <w:pPr>
        <w:ind w:firstLine="420"/>
        <w:jc w:val="left"/>
        <w:spacing w:line="360" w:lineRule="auto"/>
        <w:rPr>
          <w:rFonts w:ascii="宋体" w:cs="方正仿宋_GBK"/>
          <w:szCs w:val="21"/>
        </w:rPr>
      </w:pPr>
      <w:r>
        <w:rPr>
          <w:rFonts w:hint="eastAsia" w:ascii="宋体" w:cs="方正仿宋_GBK"/>
          <w:szCs w:val="21"/>
        </w:rPr>
        <w:t xml:space="preserve">（4）各种维护报表、值班记录，要妥善保存。中标人提供服务项目组组成人员名单、常规服务、维护档案、服务建议等。</w:t>
      </w:r>
      <w:r/>
    </w:p>
    <w:p>
      <w:pPr>
        <w:ind w:firstLine="420"/>
        <w:jc w:val="left"/>
        <w:spacing w:line="360" w:lineRule="auto"/>
        <w:rPr>
          <w:rFonts w:ascii="宋体" w:cs="方正仿宋_GBK"/>
          <w:szCs w:val="21"/>
        </w:rPr>
      </w:pPr>
      <w:r>
        <w:rPr>
          <w:rFonts w:hint="eastAsia" w:ascii="宋体" w:cs="方正仿宋_GBK"/>
          <w:szCs w:val="21"/>
        </w:rPr>
        <w:t xml:space="preserve">（5）维护人员应相对固定，且每天24小时有人值守，认真填写值班日志，并做到维护人员在故障突发时随叫随到。</w:t>
      </w:r>
      <w:r/>
    </w:p>
    <w:p>
      <w:pPr>
        <w:ind w:firstLine="420"/>
        <w:jc w:val="left"/>
        <w:spacing w:line="360" w:lineRule="auto"/>
        <w:rPr>
          <w:rFonts w:ascii="宋体" w:cs="方正仿宋_GBK"/>
          <w:szCs w:val="21"/>
        </w:rPr>
      </w:pPr>
      <w:r>
        <w:rPr>
          <w:rFonts w:hint="eastAsia" w:ascii="宋体" w:cs="方正仿宋_GBK"/>
          <w:szCs w:val="21"/>
        </w:rPr>
        <w:t xml:space="preserve">6）响应时间：</w:t>
      </w:r>
      <w:r/>
    </w:p>
    <w:tbl>
      <w:tblPr>
        <w:tblW w:w="9310"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0"/>
        <w:gridCol w:w="3615"/>
        <w:gridCol w:w="1071"/>
        <w:gridCol w:w="2257"/>
        <w:gridCol w:w="1587"/>
      </w:tblGrid>
      <w:tr>
        <w:trPr/>
        <w:tc>
          <w:tcPr>
            <w:tcW w:w="780"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序号</w:t>
            </w:r>
            <w:r/>
          </w:p>
        </w:tc>
        <w:tc>
          <w:tcPr>
            <w:tcW w:w="3615"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故障情况</w:t>
            </w:r>
            <w:r/>
          </w:p>
        </w:tc>
        <w:tc>
          <w:tcPr>
            <w:tcW w:w="1071"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响应时间</w:t>
            </w:r>
            <w:r/>
          </w:p>
        </w:tc>
        <w:tc>
          <w:tcPr>
            <w:tcW w:w="225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到场时间（维修人员及维修配件到达故障现场）</w:t>
            </w:r>
            <w:r/>
          </w:p>
        </w:tc>
        <w:tc>
          <w:tcPr>
            <w:tcW w:w="158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解决问题时间</w:t>
            </w:r>
            <w:r/>
          </w:p>
        </w:tc>
      </w:tr>
      <w:tr>
        <w:trPr/>
        <w:tc>
          <w:tcPr>
            <w:tcW w:w="780"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1</w:t>
            </w:r>
            <w:r/>
          </w:p>
        </w:tc>
        <w:tc>
          <w:tcPr>
            <w:tcW w:w="3615"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轻微情节</w:t>
            </w:r>
            <w:r/>
          </w:p>
          <w:p>
            <w:pPr>
              <w:jc w:val="center"/>
              <w:spacing w:line="360" w:lineRule="auto"/>
              <w:rPr>
                <w:rFonts w:ascii="宋体" w:cs="方正仿宋_GBK"/>
                <w:szCs w:val="21"/>
              </w:rPr>
            </w:pPr>
            <w:r>
              <w:rPr>
                <w:rFonts w:hint="eastAsia" w:ascii="宋体" w:cs="方正仿宋_GBK"/>
                <w:szCs w:val="21"/>
              </w:rPr>
              <w:t xml:space="preserve">（正确的操作可预防发生故障）</w:t>
            </w:r>
            <w:r/>
          </w:p>
        </w:tc>
        <w:tc>
          <w:tcPr>
            <w:tcW w:w="1071"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10分钟</w:t>
            </w:r>
            <w:r/>
          </w:p>
        </w:tc>
        <w:tc>
          <w:tcPr>
            <w:tcW w:w="225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30分钟</w:t>
            </w:r>
            <w:r/>
          </w:p>
        </w:tc>
        <w:tc>
          <w:tcPr>
            <w:tcW w:w="158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立即排除</w:t>
            </w:r>
            <w:r/>
          </w:p>
        </w:tc>
      </w:tr>
      <w:tr>
        <w:trPr/>
        <w:tc>
          <w:tcPr>
            <w:tcW w:w="780"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2</w:t>
            </w:r>
            <w:r/>
          </w:p>
        </w:tc>
        <w:tc>
          <w:tcPr>
            <w:tcW w:w="3615"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一般情节（一般设备或线路故障）</w:t>
            </w:r>
            <w:r/>
          </w:p>
        </w:tc>
        <w:tc>
          <w:tcPr>
            <w:tcW w:w="1071"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10分钟</w:t>
            </w:r>
            <w:r/>
          </w:p>
        </w:tc>
        <w:tc>
          <w:tcPr>
            <w:tcW w:w="225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30分钟</w:t>
            </w:r>
            <w:r/>
          </w:p>
        </w:tc>
        <w:tc>
          <w:tcPr>
            <w:tcW w:w="158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2小时</w:t>
            </w:r>
            <w:r/>
          </w:p>
        </w:tc>
      </w:tr>
      <w:tr>
        <w:trPr/>
        <w:tc>
          <w:tcPr>
            <w:tcW w:w="780"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3</w:t>
            </w:r>
            <w:r/>
          </w:p>
        </w:tc>
        <w:tc>
          <w:tcPr>
            <w:tcW w:w="3615"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重大情节</w:t>
            </w:r>
            <w:r/>
          </w:p>
          <w:p>
            <w:pPr>
              <w:jc w:val="center"/>
              <w:spacing w:line="360" w:lineRule="auto"/>
              <w:rPr>
                <w:rFonts w:ascii="宋体" w:cs="方正仿宋_GBK"/>
                <w:szCs w:val="21"/>
              </w:rPr>
            </w:pPr>
            <w:r>
              <w:rPr>
                <w:rFonts w:hint="eastAsia" w:ascii="宋体" w:cs="方正仿宋_GBK"/>
                <w:szCs w:val="21"/>
              </w:rPr>
              <w:t xml:space="preserve">（设备运行状态危急不能正常工作）</w:t>
            </w:r>
            <w:r/>
          </w:p>
        </w:tc>
        <w:tc>
          <w:tcPr>
            <w:tcW w:w="1071"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10分钟</w:t>
            </w:r>
            <w:r/>
          </w:p>
        </w:tc>
        <w:tc>
          <w:tcPr>
            <w:tcW w:w="225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30分钟</w:t>
            </w:r>
            <w:r/>
          </w:p>
        </w:tc>
        <w:tc>
          <w:tcPr>
            <w:tcW w:w="158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12小时</w:t>
            </w:r>
            <w:r/>
          </w:p>
        </w:tc>
      </w:tr>
      <w:tr>
        <w:trPr/>
        <w:tc>
          <w:tcPr>
            <w:tcW w:w="780"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4</w:t>
            </w:r>
            <w:r/>
          </w:p>
        </w:tc>
        <w:tc>
          <w:tcPr>
            <w:tcW w:w="3615"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特殊情节（交通事故等突发事件）</w:t>
            </w:r>
            <w:r/>
          </w:p>
        </w:tc>
        <w:tc>
          <w:tcPr>
            <w:tcW w:w="1071"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10分钟</w:t>
            </w:r>
            <w:r/>
          </w:p>
        </w:tc>
        <w:tc>
          <w:tcPr>
            <w:tcW w:w="225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30分钟</w:t>
            </w:r>
            <w:r/>
          </w:p>
        </w:tc>
        <w:tc>
          <w:tcPr>
            <w:tcW w:w="1587" w:type="dxa"/>
            <w:vAlign w:val="center"/>
            <w:textDirection w:val="lrTb"/>
            <w:noWrap w:val="false"/>
          </w:tcPr>
          <w:p>
            <w:pPr>
              <w:jc w:val="center"/>
              <w:spacing w:line="360" w:lineRule="auto"/>
              <w:rPr>
                <w:rFonts w:ascii="宋体" w:cs="方正仿宋_GBK"/>
                <w:szCs w:val="21"/>
              </w:rPr>
            </w:pPr>
            <w:r>
              <w:rPr>
                <w:rFonts w:hint="eastAsia" w:ascii="宋体" w:cs="方正仿宋_GBK"/>
                <w:szCs w:val="21"/>
              </w:rPr>
              <w:t xml:space="preserve">48小时</w:t>
            </w:r>
            <w:r/>
          </w:p>
        </w:tc>
      </w:tr>
      <w:tr>
        <w:trPr>
          <w:trHeight w:val="408"/>
        </w:trPr>
        <w:tc>
          <w:tcPr>
            <w:gridSpan w:val="5"/>
            <w:tcW w:w="9310" w:type="dxa"/>
            <w:vAlign w:val="center"/>
            <w:textDirection w:val="lrTb"/>
            <w:noWrap w:val="false"/>
          </w:tcPr>
          <w:p>
            <w:pPr>
              <w:jc w:val="left"/>
              <w:spacing w:line="360" w:lineRule="auto"/>
              <w:rPr>
                <w:rFonts w:ascii="宋体" w:cs="方正仿宋_GBK"/>
                <w:szCs w:val="21"/>
              </w:rPr>
            </w:pPr>
            <w:r>
              <w:rPr>
                <w:rFonts w:hint="eastAsia" w:ascii="宋体" w:cs="方正仿宋_GBK"/>
                <w:szCs w:val="21"/>
              </w:rPr>
              <w:t xml:space="preserve">注：如设施损坏严重无法修复，应在招标人许可下用相关产品替代完成。</w:t>
            </w:r>
            <w:r/>
          </w:p>
        </w:tc>
      </w:tr>
    </w:tbl>
    <w:p>
      <w:pPr>
        <w:ind w:firstLine="420"/>
        <w:jc w:val="left"/>
        <w:spacing w:line="360" w:lineRule="auto"/>
        <w:rPr>
          <w:rFonts w:ascii="宋体" w:cs="方正仿宋_GBK"/>
          <w:szCs w:val="21"/>
        </w:rPr>
      </w:pPr>
      <w:r>
        <w:rPr>
          <w:rFonts w:ascii="宋体" w:cs="方正仿宋_GBK"/>
          <w:szCs w:val="21"/>
        </w:rPr>
      </w:r>
      <w:r/>
    </w:p>
    <w:p>
      <w:pPr>
        <w:ind w:firstLine="420"/>
        <w:jc w:val="left"/>
        <w:spacing w:line="360" w:lineRule="auto"/>
        <w:rPr>
          <w:rFonts w:ascii="宋体" w:cs="方正仿宋_GBK"/>
          <w:szCs w:val="21"/>
        </w:rPr>
      </w:pPr>
      <w:r>
        <w:rPr>
          <w:rFonts w:hint="eastAsia" w:ascii="宋体" w:cs="方正仿宋_GBK"/>
          <w:szCs w:val="21"/>
        </w:rPr>
        <w:t xml:space="preserve">7）乙方对项目安全管理中，发现有损坏戓不符合规范要求的，应及时向招标方管理人员报告，在得到许可后方能实施修理或更换。</w:t>
      </w:r>
      <w:r/>
    </w:p>
    <w:p>
      <w:pPr>
        <w:ind w:right="-178" w:firstLine="420"/>
        <w:spacing w:line="360" w:lineRule="auto"/>
        <w:tabs>
          <w:tab w:val="left" w:pos="0" w:leader="none"/>
        </w:tabs>
        <w:rPr>
          <w:rFonts w:asciiTheme="minorEastAsia" w:hAnsiTheme="minorEastAsia" w:eastAsiaTheme="minorEastAsia" w:cstheme="minorEastAsia"/>
          <w:b/>
          <w:bCs/>
          <w:color w:val="000000"/>
          <w:szCs w:val="21"/>
        </w:rPr>
      </w:pPr>
      <w:r>
        <w:rPr>
          <w:rFonts w:hint="eastAsia" w:asciiTheme="minorEastAsia" w:hAnsiTheme="minorEastAsia" w:eastAsiaTheme="minorEastAsia" w:cstheme="minorEastAsia"/>
          <w:b/>
          <w:bCs/>
          <w:color w:val="000000"/>
          <w:szCs w:val="21"/>
        </w:rPr>
        <w:t xml:space="preserve">4、其他要求：</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1）本次材料设备价格为全费用综合单价，即综合单价包括完成本项目</w:t>
      </w:r>
      <w:r>
        <w:rPr>
          <w:rFonts w:hint="eastAsia" w:ascii="宋体" w:hAnsi="宋体" w:cs="宋体"/>
          <w:szCs w:val="21"/>
        </w:rPr>
        <w:t xml:space="preserve">服务所需的人工费、材料费、机械费、备品备件费、管理费、安全文明施工费、夜间施工费、冬雨季施工费、规费、税金、企业管理费及利润等其他一切费用</w:t>
      </w:r>
      <w:r>
        <w:rPr>
          <w:rFonts w:hint="eastAsia" w:asciiTheme="minorEastAsia" w:hAnsiTheme="minorEastAsia" w:eastAsiaTheme="minorEastAsia" w:cstheme="minorEastAsia"/>
          <w:color w:val="000000"/>
          <w:szCs w:val="21"/>
        </w:rPr>
        <w:t xml:space="preserve">。综合单价在合同实施期间不因市场变化因素而变动，除非合同另有约定或经双方协商同意，投标供应商不得再要求追加任何费用。</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2）投标人应根据服务内容制定相应的服务方案。投标人必须响应本章节及合同文本的全部要求，</w:t>
      </w:r>
      <w:r>
        <w:rPr>
          <w:rFonts w:hint="eastAsia" w:asciiTheme="minorEastAsia" w:hAnsiTheme="minorEastAsia" w:eastAsiaTheme="minorEastAsia" w:cstheme="minorEastAsia"/>
          <w:color w:val="000000"/>
          <w:szCs w:val="21"/>
        </w:rPr>
        <w:t xml:space="preserve">否则为无效标，如果其中某些条款不响应时，应在偏离表中逐条列出，未列出的视同响应。</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3）服务供应商组织施工作业时应严格按照《城市道路施工作业交通组织规范》、《公路养护安全作业规程》等相关行业标准及相关法律法规开展。</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4）工作过程中因服务供应商责任所造成的经济损失由服务供应商按实际金额赔偿。服务供应商工作人员在岗履行职责期间（包括上下班途中），发生自身的人身伤害、伤亡，均由服务供应商负责处理并承担经济和人道主义上的责任，招标单位不承担任何责任。服务供应商违反国家相关法规，与聘用人员发生纠纷，均由服务供应商负责调解与处理，采购单位不承担责任。</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5）因服务供应商管理不善，造成工作范围内的设施、设备等损坏的，由服务供应商赔偿，采购单位有权要求服务供应商负责赔偿损失，情节严重的可终止合同甚至诉诸法律。</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6）知识产权：</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服务供应商应保证采购人免除且服务供应商承担由于采购人在其本国使用该设备或设备任何一部分时而引起第三方提出的侵犯专利权、商标权或工业设计权的起诉、行动、行政程序索赔、请求等以及采购人人为此而产生的损失和损害、费用和支出（包括律师费）。</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 xml:space="preserve">7）凡涉及本项目的补充说明和修改，均以网上发布的公告为准。</w:t>
      </w:r>
      <w:r/>
    </w:p>
    <w:p>
      <w:pPr>
        <w:ind w:right="-178" w:firstLine="420"/>
        <w:spacing w:line="360" w:lineRule="auto"/>
        <w:tabs>
          <w:tab w:val="left" w:pos="0" w:leader="none"/>
        </w:tabs>
        <w:rPr>
          <w:rFonts w:asciiTheme="minorEastAsia" w:hAnsiTheme="minorEastAsia" w:eastAsiaTheme="minorEastAsia" w:cstheme="minorEastAsia"/>
          <w:color w:val="000000"/>
          <w:szCs w:val="21"/>
        </w:rPr>
      </w:pPr>
      <w:r>
        <w:rPr>
          <w:rFonts w:asciiTheme="minorEastAsia" w:hAnsiTheme="minorEastAsia" w:eastAsiaTheme="minorEastAsia" w:cstheme="minorEastAsia"/>
          <w:color w:val="000000"/>
          <w:szCs w:val="21"/>
        </w:rPr>
      </w:r>
      <w:r/>
    </w:p>
    <w:p>
      <w:pPr>
        <w:ind w:firstLine="630"/>
        <w:jc w:val="left"/>
        <w:spacing w:line="360" w:lineRule="auto"/>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pPr>
        <w:rPr>
          <w:rFonts w:ascii="宋体" w:hAnsi="宋体" w:cs="宋体"/>
          <w:szCs w:val="21"/>
        </w:rPr>
      </w:pPr>
      <w:r>
        <w:rPr>
          <w:rFonts w:ascii="宋体" w:hAnsi="宋体" w:cs="宋体"/>
          <w:szCs w:val="21"/>
        </w:rPr>
      </w:r>
      <w:r/>
    </w:p>
    <w:p>
      <w:pPr>
        <w:pStyle w:val="712"/>
        <w:rPr>
          <w:rFonts w:hint="default" w:hAnsi="宋体" w:cs="宋体"/>
          <w:szCs w:val="21"/>
        </w:rPr>
      </w:pPr>
      <w:r>
        <w:rPr>
          <w:rFonts w:hint="default" w:hAnsi="宋体" w:cs="宋体"/>
          <w:szCs w:val="21"/>
        </w:rPr>
      </w:r>
      <w:r/>
    </w:p>
    <w:p>
      <w:r/>
      <w:r/>
    </w:p>
    <w:p>
      <w:pPr>
        <w:ind w:firstLine="630"/>
        <w:jc w:val="left"/>
        <w:spacing w:line="360" w:lineRule="auto"/>
        <w:rPr>
          <w:rFonts w:ascii="宋体" w:hAnsi="宋体" w:cs="宋体"/>
          <w:szCs w:val="21"/>
        </w:rPr>
      </w:pPr>
      <w:r>
        <w:rPr>
          <w:rFonts w:ascii="宋体" w:hAnsi="宋体" w:cs="宋体"/>
          <w:szCs w:val="21"/>
        </w:rPr>
      </w:r>
      <w:r/>
    </w:p>
    <w:p>
      <w:pPr>
        <w:pStyle w:val="700"/>
        <w:jc w:val="center"/>
        <w:spacing w:line="578" w:lineRule="auto"/>
        <w:rPr>
          <w:rFonts w:ascii="宋体" w:hAnsi="宋体" w:eastAsia="宋体"/>
          <w:sz w:val="32"/>
          <w:szCs w:val="32"/>
        </w:rPr>
      </w:pPr>
      <w:r/>
      <w:bookmarkStart w:id="89" w:name="_Toc6639_WPSOffice_Level1"/>
      <w:r/>
      <w:bookmarkStart w:id="90" w:name="_Toc116396566"/>
      <w:r>
        <w:rPr>
          <w:rFonts w:hint="eastAsia" w:ascii="宋体" w:hAnsi="宋体" w:eastAsia="宋体"/>
          <w:sz w:val="32"/>
          <w:szCs w:val="32"/>
        </w:rPr>
        <w:t xml:space="preserve">第五章  合同主要内容</w:t>
      </w:r>
      <w:bookmarkEnd w:id="89"/>
      <w:r/>
      <w:bookmarkEnd w:id="90"/>
      <w:r/>
      <w:r/>
    </w:p>
    <w:p>
      <w:pPr>
        <w:spacing w:line="400" w:lineRule="exact"/>
        <w:rPr>
          <w:rFonts w:ascii="宋体" w:cs="方正仿宋_GBK"/>
          <w:szCs w:val="21"/>
        </w:rPr>
      </w:pPr>
      <w:r/>
      <w:bookmarkStart w:id="91" w:name="_Toc16822_WPSOffice_Level1"/>
      <w:r/>
      <w:bookmarkStart w:id="92" w:name="_Toc62460946"/>
      <w:r>
        <w:rPr>
          <w:rFonts w:hint="eastAsia" w:ascii="宋体" w:cs="方正仿宋_GBK"/>
          <w:szCs w:val="21"/>
        </w:rPr>
        <w:t xml:space="preserve">甲方：</w:t>
      </w:r>
      <w:r>
        <w:rPr>
          <w:rFonts w:hint="eastAsia" w:ascii="宋体" w:cs="方正仿宋_GBK"/>
          <w:szCs w:val="21"/>
          <w:u w:val="single"/>
        </w:rPr>
        <w:t xml:space="preserve">                         </w:t>
      </w:r>
      <w:r>
        <w:rPr>
          <w:rFonts w:hint="eastAsia" w:ascii="宋体" w:cs="方正仿宋_GBK"/>
          <w:szCs w:val="21"/>
        </w:rPr>
        <w:t xml:space="preserve">（以下简称甲方）</w:t>
      </w:r>
      <w:r/>
    </w:p>
    <w:p>
      <w:pPr>
        <w:spacing w:line="400" w:lineRule="exact"/>
        <w:rPr>
          <w:rFonts w:ascii="宋体" w:cs="方正仿宋_GBK"/>
          <w:szCs w:val="21"/>
        </w:rPr>
      </w:pPr>
      <w:r>
        <w:rPr>
          <w:rFonts w:hint="eastAsia" w:ascii="宋体" w:cs="方正仿宋_GBK"/>
          <w:szCs w:val="21"/>
        </w:rPr>
        <w:t xml:space="preserve">乙方：</w:t>
      </w:r>
      <w:r>
        <w:rPr>
          <w:rFonts w:hint="eastAsia" w:ascii="宋体" w:cs="方正仿宋_GBK"/>
          <w:szCs w:val="21"/>
          <w:u w:val="single"/>
        </w:rPr>
        <w:t xml:space="preserve">                         </w:t>
      </w:r>
      <w:r>
        <w:rPr>
          <w:rFonts w:hint="eastAsia" w:ascii="宋体" w:cs="方正仿宋_GBK"/>
          <w:szCs w:val="21"/>
        </w:rPr>
        <w:t xml:space="preserve">（以下简称乙方） </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根据</w:t>
      </w:r>
      <w:r>
        <w:rPr>
          <w:rFonts w:hint="eastAsia" w:ascii="宋体" w:hAnsi="宋体" w:cs="Arial"/>
          <w:szCs w:val="21"/>
          <w:u w:val="single"/>
        </w:rPr>
        <w:t xml:space="preserve">江苏鑫鲲煜工程项目管理咨询有限公司</w:t>
      </w:r>
      <w:r>
        <w:rPr>
          <w:rFonts w:hint="eastAsia" w:ascii="宋体" w:hAnsi="宋体" w:cs="Arial"/>
          <w:szCs w:val="21"/>
        </w:rPr>
        <w:t xml:space="preserve">招标编号为</w:t>
      </w:r>
      <w:r>
        <w:rPr>
          <w:rFonts w:hint="eastAsia" w:ascii="宋体" w:hAnsi="宋体" w:cs="Arial"/>
          <w:szCs w:val="21"/>
          <w:u w:val="single"/>
        </w:rPr>
        <w:t xml:space="preserve"> </w:t>
      </w:r>
      <w:r>
        <w:rPr>
          <w:rFonts w:ascii="宋体" w:hAnsi="宋体" w:cs="Arial"/>
          <w:szCs w:val="21"/>
          <w:u w:val="single"/>
        </w:rPr>
        <w:t xml:space="preserve">JSZC-320583-XKYG-G202</w:t>
      </w:r>
      <w:r>
        <w:rPr>
          <w:rFonts w:hint="eastAsia" w:ascii="宋体" w:hAnsi="宋体" w:cs="Arial"/>
          <w:szCs w:val="21"/>
          <w:u w:val="single"/>
        </w:rPr>
        <w:t xml:space="preserve">5</w:t>
      </w:r>
      <w:r>
        <w:rPr>
          <w:rFonts w:ascii="宋体" w:hAnsi="宋体" w:cs="Arial"/>
          <w:szCs w:val="21"/>
          <w:u w:val="single"/>
        </w:rPr>
        <w:t xml:space="preserve">-000</w:t>
      </w:r>
      <w:r>
        <w:rPr>
          <w:rFonts w:hint="eastAsia" w:ascii="宋体" w:hAnsi="宋体" w:cs="Arial"/>
          <w:szCs w:val="21"/>
          <w:u w:val="single"/>
        </w:rPr>
        <w:t xml:space="preserve">7 </w:t>
      </w:r>
      <w:r>
        <w:rPr>
          <w:rFonts w:hint="eastAsia" w:ascii="宋体" w:hAnsi="宋体" w:cs="Arial"/>
          <w:szCs w:val="21"/>
        </w:rPr>
        <w:t xml:space="preserve">的招标文件及该文件的投标文件和中标通知书，根据《</w:t>
      </w:r>
      <w:hyperlink r:id="rId15" w:tooltip="https://baike.baidu.com/item/%E4%B8%AD%E5%8D%8E%E4%BA%BA%E6%B0%91%E5%85%B1%E5%92%8C%E5%9B%BD%E6%B0%91%E6%B3%95%E5%85%B8/19435116" w:history="1">
        <w:r>
          <w:rPr>
            <w:rFonts w:hint="eastAsia" w:ascii="宋体" w:hAnsi="宋体" w:cs="Arial"/>
            <w:szCs w:val="21"/>
          </w:rPr>
          <w:t xml:space="preserve">中华人民共和国民法典</w:t>
        </w:r>
      </w:hyperlink>
      <w:r>
        <w:rPr>
          <w:rFonts w:hint="eastAsia" w:ascii="宋体" w:hAnsi="宋体" w:cs="Arial"/>
          <w:szCs w:val="21"/>
        </w:rPr>
        <w:t xml:space="preserve">》，参照国家、地方有关项目法律、法规和政策，在平等、自愿、协商一致的基础上，甲乙双方就甲方聘用乙方</w:t>
      </w:r>
      <w:r>
        <w:rPr>
          <w:rFonts w:hint="eastAsia" w:ascii="宋体" w:hAnsi="宋体" w:cs="Arial"/>
          <w:szCs w:val="21"/>
          <w:u w:val="single"/>
        </w:rPr>
        <w:t xml:space="preserve">2026-2027年度道路交通设施维护服务</w:t>
      </w:r>
      <w:r>
        <w:rPr>
          <w:rFonts w:hint="eastAsia" w:ascii="宋体" w:hAnsi="宋体" w:cs="Arial"/>
          <w:szCs w:val="21"/>
        </w:rPr>
        <w:t xml:space="preserve">工作，签订本合同书。</w:t>
      </w:r>
      <w:r/>
    </w:p>
    <w:p>
      <w:pPr>
        <w:ind w:firstLine="422"/>
        <w:spacing w:line="360" w:lineRule="auto"/>
        <w:rPr>
          <w:rFonts w:ascii="宋体" w:hAnsi="宋体" w:cs="Arial"/>
          <w:szCs w:val="21"/>
        </w:rPr>
      </w:pPr>
      <w:r>
        <w:rPr>
          <w:rFonts w:hint="eastAsia" w:ascii="宋体" w:hAnsi="宋体" w:cs="Arial"/>
          <w:b/>
          <w:bCs/>
          <w:szCs w:val="21"/>
        </w:rPr>
        <w:t xml:space="preserve">一、定义：以下术语有特定的含义：</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“货物”本合同所称货物是指乙方基于其已中标的投标文件而应向甲方提供的符合招标要求规格及功能的</w:t>
      </w:r>
      <w:r>
        <w:rPr>
          <w:rFonts w:hint="eastAsia" w:ascii="宋体" w:hAnsi="宋体" w:cs="Arial"/>
          <w:szCs w:val="21"/>
          <w:u w:val="single"/>
        </w:rPr>
        <w:t xml:space="preserve"> 道路交通设施 </w:t>
      </w:r>
      <w:r>
        <w:rPr>
          <w:rFonts w:hint="eastAsia" w:ascii="宋体" w:hAnsi="宋体" w:cs="Arial"/>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“合同价”系指根据中标的投标文件和合同规定，乙方在正确地履行合同义务后甲方应支付乙方的价款。</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“乙方”系指合同中规定的提供货物和提供服务的单位。</w:t>
      </w:r>
      <w:r/>
    </w:p>
    <w:p>
      <w:pPr>
        <w:ind w:right="-252" w:firstLine="420"/>
        <w:spacing w:line="360" w:lineRule="auto"/>
        <w:tabs>
          <w:tab w:val="left" w:pos="360" w:leader="none"/>
        </w:tabs>
        <w:rPr>
          <w:rFonts w:hAnsi="宋体"/>
          <w:b/>
          <w:spacing w:val="-10"/>
          <w:szCs w:val="21"/>
        </w:rPr>
      </w:pPr>
      <w:r>
        <w:rPr>
          <w:rFonts w:hint="eastAsia" w:ascii="宋体" w:hAnsi="宋体" w:cs="Arial"/>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pStyle w:val="723"/>
        <w:ind w:firstLine="382"/>
        <w:spacing w:line="360" w:lineRule="auto"/>
        <w:rPr>
          <w:rFonts w:hAnsi="宋体" w:eastAsia="宋体"/>
          <w:b/>
          <w:spacing w:val="-10"/>
          <w:sz w:val="21"/>
          <w:szCs w:val="21"/>
        </w:rPr>
      </w:pPr>
      <w:r>
        <w:rPr>
          <w:rFonts w:hint="eastAsia" w:hAnsi="宋体" w:eastAsia="宋体"/>
          <w:b/>
          <w:spacing w:val="-10"/>
          <w:sz w:val="21"/>
          <w:szCs w:val="21"/>
        </w:rPr>
        <w:t xml:space="preserve">二、</w:t>
      </w:r>
      <w:r>
        <w:rPr>
          <w:rFonts w:hAnsi="宋体" w:eastAsia="宋体"/>
          <w:b/>
          <w:spacing w:val="-10"/>
          <w:sz w:val="21"/>
          <w:szCs w:val="21"/>
        </w:rPr>
        <w:t xml:space="preserve">合同内容：</w:t>
      </w:r>
      <w:r/>
    </w:p>
    <w:p>
      <w:pPr>
        <w:pStyle w:val="723"/>
        <w:ind w:firstLine="420"/>
        <w:spacing w:line="360" w:lineRule="auto"/>
        <w:rPr>
          <w:rFonts w:hAnsi="宋体" w:eastAsia="宋体"/>
          <w:sz w:val="21"/>
          <w:szCs w:val="21"/>
        </w:rPr>
      </w:pPr>
      <w:r>
        <w:rPr>
          <w:rFonts w:hAnsi="宋体" w:eastAsia="宋体"/>
          <w:sz w:val="21"/>
          <w:szCs w:val="21"/>
        </w:rPr>
        <w:t xml:space="preserve">1、</w:t>
      </w:r>
      <w:r>
        <w:rPr>
          <w:rFonts w:hint="eastAsia" w:hAnsi="宋体" w:eastAsia="宋体"/>
          <w:sz w:val="21"/>
          <w:szCs w:val="21"/>
        </w:rPr>
        <w:t xml:space="preserve">项目名称：2026-2027年交通设施维护服务</w:t>
      </w:r>
      <w:r>
        <w:rPr>
          <w:rFonts w:hAnsi="宋体" w:eastAsia="宋体"/>
          <w:sz w:val="21"/>
          <w:szCs w:val="21"/>
        </w:rPr>
        <w:t xml:space="preserve">。</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2、服务内容：2026-2027年度昆山市花桥镇辖区内非框架道路标志标线、信号灯、交通隔离设施等维护及设置。</w:t>
      </w:r>
      <w:r/>
    </w:p>
    <w:p>
      <w:pPr>
        <w:pStyle w:val="723"/>
        <w:ind w:left="2415" w:hanging="1995"/>
        <w:spacing w:line="360" w:lineRule="auto"/>
        <w:rPr>
          <w:rFonts w:hAnsi="宋体" w:eastAsia="宋体"/>
          <w:sz w:val="21"/>
          <w:szCs w:val="21"/>
        </w:rPr>
      </w:pPr>
      <w:r>
        <w:rPr>
          <w:rFonts w:hint="eastAsia" w:hAnsi="宋体" w:eastAsia="宋体"/>
          <w:sz w:val="21"/>
          <w:szCs w:val="21"/>
        </w:rPr>
        <w:t xml:space="preserve">3、服务期限：2年，服务期限自</w:t>
      </w:r>
      <w:r>
        <w:rPr>
          <w:rFonts w:hint="eastAsia" w:hAnsi="宋体" w:eastAsia="宋体"/>
          <w:sz w:val="21"/>
          <w:szCs w:val="21"/>
          <w:u w:val="single"/>
        </w:rPr>
        <w:t xml:space="preserve">        </w:t>
      </w:r>
      <w:r>
        <w:rPr>
          <w:rFonts w:hint="eastAsia" w:hAnsi="宋体" w:eastAsia="宋体"/>
          <w:sz w:val="21"/>
          <w:szCs w:val="21"/>
        </w:rPr>
        <w:t xml:space="preserve">年</w:t>
      </w:r>
      <w:r>
        <w:rPr>
          <w:rFonts w:hint="eastAsia" w:hAnsi="宋体" w:eastAsia="宋体"/>
          <w:sz w:val="21"/>
          <w:szCs w:val="21"/>
          <w:u w:val="single"/>
        </w:rPr>
        <w:t xml:space="preserve">     </w:t>
      </w:r>
      <w:r>
        <w:rPr>
          <w:rFonts w:hint="eastAsia" w:hAnsi="宋体" w:eastAsia="宋体"/>
          <w:sz w:val="21"/>
          <w:szCs w:val="21"/>
        </w:rPr>
        <w:t xml:space="preserve">月</w:t>
      </w:r>
      <w:r>
        <w:rPr>
          <w:rFonts w:hint="eastAsia" w:hAnsi="宋体" w:eastAsia="宋体"/>
          <w:sz w:val="21"/>
          <w:szCs w:val="21"/>
          <w:u w:val="single"/>
        </w:rPr>
        <w:t xml:space="preserve">     </w:t>
      </w:r>
      <w:r>
        <w:rPr>
          <w:rFonts w:hint="eastAsia" w:hAnsi="宋体" w:eastAsia="宋体"/>
          <w:sz w:val="21"/>
          <w:szCs w:val="21"/>
        </w:rPr>
        <w:t xml:space="preserve">日至</w:t>
      </w:r>
      <w:r>
        <w:rPr>
          <w:rFonts w:hint="eastAsia" w:hAnsi="宋体" w:eastAsia="宋体"/>
          <w:sz w:val="21"/>
          <w:szCs w:val="21"/>
          <w:u w:val="single"/>
        </w:rPr>
        <w:t xml:space="preserve">         </w:t>
      </w:r>
      <w:r>
        <w:rPr>
          <w:rFonts w:hint="eastAsia" w:hAnsi="宋体" w:eastAsia="宋体"/>
          <w:sz w:val="21"/>
          <w:szCs w:val="21"/>
        </w:rPr>
        <w:t xml:space="preserve">年</w:t>
      </w:r>
      <w:r>
        <w:rPr>
          <w:rFonts w:hint="eastAsia" w:hAnsi="宋体" w:eastAsia="宋体"/>
          <w:sz w:val="21"/>
          <w:szCs w:val="21"/>
          <w:u w:val="single"/>
        </w:rPr>
        <w:t xml:space="preserve">     </w:t>
      </w:r>
      <w:r>
        <w:rPr>
          <w:rFonts w:hint="eastAsia" w:hAnsi="宋体" w:eastAsia="宋体"/>
          <w:sz w:val="21"/>
          <w:szCs w:val="21"/>
        </w:rPr>
        <w:t xml:space="preserve">月</w:t>
      </w:r>
      <w:r>
        <w:rPr>
          <w:rFonts w:hint="eastAsia" w:hAnsi="宋体" w:eastAsia="宋体"/>
          <w:sz w:val="21"/>
          <w:szCs w:val="21"/>
          <w:u w:val="single"/>
        </w:rPr>
        <w:t xml:space="preserve">     </w:t>
      </w:r>
      <w:r>
        <w:rPr>
          <w:rFonts w:hint="eastAsia" w:hAnsi="宋体" w:eastAsia="宋体"/>
          <w:sz w:val="21"/>
          <w:szCs w:val="21"/>
        </w:rPr>
        <w:t xml:space="preserve">日止。</w:t>
      </w:r>
      <w:r/>
    </w:p>
    <w:p>
      <w:pPr>
        <w:ind w:right="-252" w:firstLine="420"/>
        <w:spacing w:line="360" w:lineRule="auto"/>
        <w:tabs>
          <w:tab w:val="left" w:pos="360" w:leader="none"/>
        </w:tabs>
        <w:rPr>
          <w:rFonts w:ascii="宋体" w:hAnsi="宋体" w:cs="Arial"/>
          <w:b/>
          <w:bCs/>
          <w:szCs w:val="21"/>
        </w:rPr>
      </w:pPr>
      <w:r>
        <w:rPr>
          <w:rFonts w:hint="eastAsia" w:ascii="宋体" w:hAnsi="宋体" w:cs="Arial"/>
          <w:b/>
          <w:bCs/>
          <w:szCs w:val="21"/>
        </w:rPr>
        <w:t xml:space="preserve">如因甲方上级部门要求或相关政策要求甲方须提前终止合同的，乙方须无条件服从，且甲方不承担相应赔偿责任。</w:t>
      </w:r>
      <w:r/>
    </w:p>
    <w:p>
      <w:pPr>
        <w:ind w:right="-252" w:firstLine="420"/>
        <w:spacing w:line="360" w:lineRule="auto"/>
        <w:tabs>
          <w:tab w:val="left" w:pos="360" w:leader="none"/>
        </w:tabs>
        <w:rPr>
          <w:rFonts w:ascii="宋体" w:hAnsi="宋体" w:cs="Arial"/>
          <w:b/>
          <w:bCs/>
          <w:szCs w:val="21"/>
        </w:rPr>
      </w:pPr>
      <w:r>
        <w:rPr>
          <w:rFonts w:hint="eastAsia" w:ascii="宋体" w:hAnsi="宋体" w:cs="Arial"/>
          <w:b/>
          <w:bCs/>
          <w:szCs w:val="21"/>
        </w:rPr>
        <w:t xml:space="preserve">在上述服务期限内，本项目支付金额到达最高预算420万元时即合同终止。（以服务期限或支付金额420万元先到为准）</w:t>
      </w:r>
      <w:r/>
    </w:p>
    <w:p>
      <w:pPr>
        <w:ind w:right="-252" w:firstLine="420"/>
        <w:spacing w:line="360" w:lineRule="auto"/>
        <w:tabs>
          <w:tab w:val="left" w:pos="360" w:leader="none"/>
        </w:tabs>
        <w:rPr>
          <w:rFonts w:ascii="宋体" w:hAnsi="宋体" w:cs="Arial"/>
          <w:szCs w:val="21"/>
        </w:rPr>
      </w:pPr>
      <w:r>
        <w:rPr>
          <w:rFonts w:hint="eastAsia" w:ascii="宋体" w:hAnsi="宋体" w:cs="Arial"/>
          <w:szCs w:val="21"/>
        </w:rPr>
        <w:t xml:space="preserve">4、下列文件为本合同不可分割部分：</w:t>
      </w:r>
      <w:r/>
    </w:p>
    <w:p>
      <w:pPr>
        <w:pStyle w:val="723"/>
        <w:ind w:firstLine="420"/>
        <w:spacing w:line="360" w:lineRule="auto"/>
        <w:rPr>
          <w:rFonts w:hAnsi="宋体" w:eastAsia="宋体"/>
          <w:sz w:val="21"/>
          <w:szCs w:val="21"/>
        </w:rPr>
      </w:pPr>
      <w:r>
        <w:rPr>
          <w:rFonts w:hAnsi="宋体" w:eastAsia="宋体"/>
          <w:sz w:val="21"/>
          <w:szCs w:val="21"/>
        </w:rPr>
        <w:t xml:space="preserve">① 中标通知书；</w:t>
      </w:r>
      <w:r/>
    </w:p>
    <w:p>
      <w:pPr>
        <w:pStyle w:val="723"/>
        <w:ind w:firstLine="420"/>
        <w:spacing w:line="360" w:lineRule="auto"/>
        <w:rPr>
          <w:rFonts w:hAnsi="宋体" w:eastAsia="宋体"/>
          <w:sz w:val="21"/>
          <w:szCs w:val="21"/>
        </w:rPr>
      </w:pPr>
      <w:r>
        <w:rPr>
          <w:rFonts w:hAnsi="宋体" w:eastAsia="宋体"/>
          <w:sz w:val="21"/>
          <w:szCs w:val="21"/>
        </w:rPr>
        <w:t xml:space="preserve">② 乙方的投标文件；</w:t>
      </w:r>
      <w:r/>
    </w:p>
    <w:p>
      <w:pPr>
        <w:pStyle w:val="723"/>
        <w:ind w:firstLine="420"/>
        <w:spacing w:line="360" w:lineRule="auto"/>
        <w:rPr>
          <w:rFonts w:hAnsi="宋体" w:eastAsia="宋体"/>
          <w:sz w:val="21"/>
          <w:szCs w:val="21"/>
        </w:rPr>
      </w:pPr>
      <w:r>
        <w:rPr>
          <w:rFonts w:hAnsi="宋体" w:eastAsia="宋体"/>
          <w:sz w:val="21"/>
          <w:szCs w:val="21"/>
        </w:rPr>
        <w:t xml:space="preserve">③ 乙方在招投标过程中所作的其它承诺、声明、书面澄清等；</w:t>
      </w:r>
      <w:r/>
    </w:p>
    <w:p>
      <w:pPr>
        <w:pStyle w:val="723"/>
        <w:ind w:firstLine="420"/>
        <w:spacing w:line="360" w:lineRule="auto"/>
        <w:rPr>
          <w:rFonts w:hAnsi="宋体" w:eastAsia="宋体"/>
          <w:sz w:val="21"/>
          <w:szCs w:val="21"/>
        </w:rPr>
      </w:pPr>
      <w:r>
        <w:rPr>
          <w:rFonts w:hAnsi="宋体" w:eastAsia="宋体"/>
          <w:sz w:val="21"/>
          <w:szCs w:val="21"/>
        </w:rPr>
        <w:t xml:space="preserve">④ 招标文件及其附件；</w:t>
      </w:r>
      <w:r/>
    </w:p>
    <w:p>
      <w:pPr>
        <w:pStyle w:val="723"/>
        <w:ind w:firstLine="420"/>
        <w:spacing w:line="360" w:lineRule="auto"/>
        <w:rPr>
          <w:rFonts w:hAnsi="宋体" w:eastAsia="宋体"/>
          <w:sz w:val="21"/>
          <w:szCs w:val="21"/>
        </w:rPr>
      </w:pPr>
      <w:r>
        <w:rPr>
          <w:rFonts w:hAnsi="宋体" w:eastAsia="宋体"/>
          <w:sz w:val="21"/>
          <w:szCs w:val="21"/>
        </w:rPr>
        <w:t xml:space="preserve">⑤ 合同附件。</w:t>
      </w:r>
      <w:r/>
    </w:p>
    <w:p>
      <w:pPr>
        <w:pStyle w:val="723"/>
        <w:ind w:firstLine="420"/>
        <w:spacing w:line="360" w:lineRule="auto"/>
        <w:rPr>
          <w:rFonts w:hAnsi="宋体" w:eastAsia="宋体"/>
          <w:sz w:val="21"/>
          <w:szCs w:val="21"/>
        </w:rPr>
      </w:pPr>
      <w:r>
        <w:rPr>
          <w:rFonts w:hAnsi="宋体" w:eastAsia="宋体"/>
          <w:sz w:val="21"/>
          <w:szCs w:val="21"/>
        </w:rPr>
        <w:t xml:space="preserve">以上与本合同具有同等法律效力</w:t>
      </w:r>
      <w:r>
        <w:rPr>
          <w:rFonts w:hint="eastAsia" w:hAnsi="宋体" w:eastAsia="宋体"/>
          <w:sz w:val="21"/>
          <w:szCs w:val="21"/>
        </w:rPr>
        <w:t xml:space="preserve">。</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三、合同金额及付款方式：</w:t>
      </w:r>
      <w:r>
        <w:rPr>
          <w:rFonts w:hint="eastAsia" w:ascii="宋体" w:hAnsi="宋体" w:cs="宋体"/>
          <w:color w:val="000000"/>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1、项目预算金额：</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rPr>
        <w:t xml:space="preserve">；</w:t>
      </w:r>
      <w:r>
        <w:rPr>
          <w:rFonts w:hint="eastAsia" w:ascii="宋体" w:hAnsi="宋体" w:cs="宋体"/>
          <w:color w:val="000000"/>
          <w:szCs w:val="21"/>
        </w:rPr>
        <w:t xml:space="preserve">中标折扣率：</w:t>
      </w:r>
      <w:r>
        <w:rPr>
          <w:rFonts w:hint="eastAsia" w:ascii="宋体" w:hAnsi="宋体" w:cs="宋体"/>
          <w:color w:val="000000"/>
          <w:szCs w:val="21"/>
          <w:u w:val="single"/>
        </w:rPr>
        <w:t xml:space="preserve">    %</w:t>
      </w:r>
      <w:r>
        <w:rPr>
          <w:rFonts w:hint="eastAsia" w:ascii="宋体" w:hAnsi="宋体" w:cs="宋体"/>
          <w:szCs w:val="21"/>
        </w:rPr>
        <w:t xml:space="preserve">，综合单价包括服务所需的人工费、材料费、机械费、备品备件费、管理费、安全文明施工费、夜间施工费、冬雨季施工费、规费、税金、企业管理费及利润等其他一切费用。综合单价在合同实施期间不因市场变化因素而变动，除非合同另有约定或经双方协商同意，乙方不得再要求追加任何费用。</w:t>
      </w:r>
      <w:r/>
    </w:p>
    <w:p>
      <w:pPr>
        <w:ind w:firstLine="420"/>
        <w:spacing w:line="360" w:lineRule="auto"/>
        <w:rPr>
          <w:rFonts w:ascii="宋体" w:hAnsi="宋体" w:cs="宋体"/>
          <w:szCs w:val="21"/>
        </w:rPr>
      </w:pPr>
      <w:r>
        <w:rPr>
          <w:rFonts w:hint="eastAsia" w:ascii="宋体" w:hAnsi="宋体" w:cs="宋体"/>
          <w:szCs w:val="21"/>
        </w:rPr>
        <w:t xml:space="preserve">2、综合单价：</w:t>
      </w:r>
      <w:r/>
    </w:p>
    <w:p>
      <w:pPr>
        <w:ind w:firstLine="420"/>
        <w:spacing w:line="360" w:lineRule="auto"/>
        <w:rPr>
          <w:rFonts w:ascii="宋体" w:hAnsi="宋体" w:cs="宋体"/>
          <w:szCs w:val="21"/>
        </w:rPr>
      </w:pPr>
      <w:r>
        <w:rPr>
          <w:rFonts w:hint="eastAsia" w:ascii="宋体" w:hAnsi="宋体" w:cs="宋体"/>
          <w:szCs w:val="21"/>
        </w:rPr>
        <w:t xml:space="preserve">3、结算方式：</w:t>
      </w:r>
      <w:r/>
    </w:p>
    <w:p>
      <w:pPr>
        <w:ind w:firstLine="420"/>
        <w:spacing w:line="360" w:lineRule="auto"/>
        <w:rPr>
          <w:rFonts w:ascii="宋体" w:hAnsi="宋体" w:cs="宋体"/>
          <w:szCs w:val="21"/>
        </w:rPr>
      </w:pPr>
      <w:r>
        <w:rPr>
          <w:rFonts w:hint="eastAsia" w:ascii="宋体" w:hAnsi="宋体" w:cs="宋体"/>
          <w:szCs w:val="21"/>
        </w:rPr>
        <w:t xml:space="preserve">（1）甲方（或监理）对乙方提出的维修（更换）项目工程量进行复查并签字确认，最终以甲方（</w:t>
      </w:r>
      <w:r>
        <w:rPr>
          <w:rFonts w:hint="eastAsia" w:ascii="宋体" w:hAnsi="宋体" w:cs="宋体"/>
          <w:szCs w:val="21"/>
        </w:rPr>
        <w:t xml:space="preserve">或监理）确认的工程量为准；</w:t>
      </w:r>
      <w:r/>
    </w:p>
    <w:p>
      <w:pPr>
        <w:ind w:firstLine="420"/>
        <w:spacing w:line="360" w:lineRule="auto"/>
        <w:rPr>
          <w:rFonts w:ascii="宋体" w:hAnsi="宋体" w:cs="宋体"/>
          <w:szCs w:val="21"/>
        </w:rPr>
      </w:pPr>
      <w:r>
        <w:rPr>
          <w:rFonts w:hint="eastAsia" w:ascii="宋体" w:hAnsi="宋体" w:cs="宋体"/>
          <w:szCs w:val="21"/>
        </w:rPr>
        <w:t xml:space="preserve">（2）根据中标综合折扣单价及实际维修工程量，按实结算。</w:t>
      </w:r>
      <w:r/>
    </w:p>
    <w:p>
      <w:pPr>
        <w:ind w:firstLine="422"/>
        <w:spacing w:line="360" w:lineRule="auto"/>
        <w:rPr>
          <w:rFonts w:ascii="宋体" w:hAnsi="宋体" w:cs="宋体"/>
          <w:b/>
          <w:bCs/>
          <w:szCs w:val="21"/>
        </w:rPr>
      </w:pPr>
      <w:r>
        <w:rPr>
          <w:rFonts w:hint="eastAsia" w:ascii="宋体" w:hAnsi="宋体" w:cs="宋体"/>
          <w:b/>
          <w:bCs/>
          <w:szCs w:val="21"/>
        </w:rPr>
        <w:t xml:space="preserve">4、付款方式：按照完成工程量按季度结算，竣工验收付完成工程量的50%，余款审计结束后2年内付清。</w:t>
      </w:r>
      <w:r/>
    </w:p>
    <w:p>
      <w:pPr>
        <w:ind w:firstLine="422"/>
        <w:spacing w:line="360" w:lineRule="auto"/>
        <w:rPr>
          <w:rFonts w:ascii="宋体" w:hAnsi="宋体" w:cs="宋体"/>
          <w:szCs w:val="21"/>
        </w:rPr>
      </w:pPr>
      <w:r>
        <w:rPr>
          <w:rFonts w:hint="eastAsia" w:ascii="宋体" w:hAnsi="宋体" w:cs="宋体"/>
          <w:b/>
          <w:bCs/>
          <w:szCs w:val="21"/>
        </w:rPr>
        <w:t xml:space="preserve">注：乙方开具发票后，甲方以</w:t>
      </w:r>
      <w:r>
        <w:rPr>
          <w:rFonts w:hint="eastAsia" w:ascii="宋体" w:hAnsi="宋体" w:cs="宋体"/>
          <w:b/>
          <w:bCs/>
          <w:szCs w:val="21"/>
        </w:rPr>
        <w:t xml:space="preserve">转账方式支付。</w:t>
      </w:r>
      <w:r/>
    </w:p>
    <w:p>
      <w:pPr>
        <w:ind w:firstLine="422"/>
        <w:spacing w:line="360" w:lineRule="auto"/>
        <w:rPr>
          <w:rFonts w:ascii="宋体" w:hAnsi="宋体" w:cs="宋体"/>
          <w:szCs w:val="21"/>
        </w:rPr>
      </w:pPr>
      <w:r>
        <w:rPr>
          <w:rFonts w:hint="eastAsia" w:ascii="宋体" w:hAnsi="宋体" w:cs="宋体"/>
          <w:b/>
          <w:bCs/>
          <w:szCs w:val="21"/>
        </w:rPr>
        <w:t xml:space="preserve">四、售后服务：</w:t>
      </w:r>
      <w:r>
        <w:rPr>
          <w:rFonts w:hint="eastAsia" w:ascii="宋体" w:hAnsi="宋体" w:cs="宋体"/>
          <w:szCs w:val="21"/>
        </w:rPr>
        <w:t xml:space="preserve">材料免费质保期贰年。</w:t>
      </w:r>
      <w:r/>
    </w:p>
    <w:p>
      <w:pPr>
        <w:ind w:firstLine="422"/>
        <w:spacing w:line="360" w:lineRule="auto"/>
        <w:rPr>
          <w:rFonts w:ascii="宋体" w:hAnsi="宋体" w:cs="宋体"/>
          <w:szCs w:val="21"/>
        </w:rPr>
      </w:pPr>
      <w:r>
        <w:rPr>
          <w:rFonts w:hint="eastAsia" w:ascii="宋体" w:hAnsi="宋体" w:cs="宋体"/>
          <w:b/>
          <w:bCs/>
          <w:szCs w:val="21"/>
        </w:rPr>
        <w:t xml:space="preserve">五、甲方权利与义务</w:t>
      </w:r>
      <w:r/>
    </w:p>
    <w:p>
      <w:pPr>
        <w:ind w:firstLine="397"/>
        <w:spacing w:line="360" w:lineRule="auto"/>
        <w:rPr>
          <w:rFonts w:ascii="宋体" w:hAnsi="宋体" w:cs="宋体"/>
          <w:szCs w:val="21"/>
        </w:rPr>
      </w:pPr>
      <w:r>
        <w:rPr>
          <w:rFonts w:hint="eastAsia" w:ascii="宋体" w:hAnsi="宋体" w:cs="宋体"/>
          <w:szCs w:val="21"/>
        </w:rPr>
        <w:t xml:space="preserve">1、甲方有权要求并监督乙方提供合格服务。</w:t>
      </w:r>
      <w:r/>
    </w:p>
    <w:p>
      <w:pPr>
        <w:ind w:firstLine="397"/>
        <w:spacing w:line="360" w:lineRule="auto"/>
        <w:rPr>
          <w:rFonts w:ascii="宋体" w:hAnsi="宋体" w:cs="宋体"/>
          <w:szCs w:val="21"/>
        </w:rPr>
      </w:pPr>
      <w:r>
        <w:rPr>
          <w:rFonts w:hint="eastAsia" w:ascii="宋体" w:hAnsi="宋体" w:cs="宋体"/>
          <w:szCs w:val="21"/>
        </w:rPr>
        <w:t xml:space="preserve">2、因乙方过错或违反合同约定事项给甲方造成名誉损失和经济损失的，甲方有权要求乙方赔偿。</w:t>
      </w:r>
      <w:r/>
    </w:p>
    <w:p>
      <w:pPr>
        <w:ind w:firstLine="397"/>
        <w:spacing w:line="360" w:lineRule="auto"/>
        <w:rPr>
          <w:rFonts w:ascii="宋体" w:hAnsi="宋体" w:cs="宋体"/>
          <w:szCs w:val="21"/>
        </w:rPr>
      </w:pPr>
      <w:r>
        <w:rPr>
          <w:rFonts w:hint="eastAsia" w:ascii="宋体" w:hAnsi="宋体" w:cs="宋体"/>
          <w:szCs w:val="21"/>
        </w:rPr>
        <w:t xml:space="preserve">3、甲方应按时支付服务费用。</w:t>
      </w:r>
      <w:r/>
    </w:p>
    <w:p>
      <w:pPr>
        <w:ind w:firstLine="397"/>
        <w:spacing w:line="360" w:lineRule="auto"/>
        <w:rPr>
          <w:rFonts w:ascii="宋体" w:hAnsi="宋体" w:cs="宋体"/>
          <w:szCs w:val="21"/>
        </w:rPr>
      </w:pPr>
      <w:r>
        <w:rPr>
          <w:rFonts w:hint="eastAsia" w:ascii="宋体" w:hAnsi="宋体" w:cs="宋体"/>
          <w:szCs w:val="21"/>
        </w:rPr>
        <w:t xml:space="preserve">4、甲方应教育所属人员尊重乙方工作人员的劳动成果，积极配合乙方工作人员履行合同。</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六、乙方的权利与义务</w:t>
      </w:r>
      <w:r/>
    </w:p>
    <w:p>
      <w:pPr>
        <w:ind w:firstLine="397"/>
        <w:spacing w:line="360" w:lineRule="auto"/>
        <w:rPr>
          <w:rFonts w:ascii="宋体" w:hAnsi="宋体" w:cs="宋体"/>
          <w:szCs w:val="21"/>
        </w:rPr>
      </w:pPr>
      <w:r>
        <w:rPr>
          <w:rFonts w:hint="eastAsia" w:ascii="宋体" w:hAnsi="宋体" w:cs="宋体"/>
          <w:szCs w:val="21"/>
        </w:rPr>
        <w:t xml:space="preserve">1、乙方自觉接受甲方管理，安全文明工作，提供符合甲方要求的服务。</w:t>
      </w:r>
      <w:r/>
    </w:p>
    <w:p>
      <w:pPr>
        <w:ind w:firstLine="397"/>
        <w:spacing w:line="360" w:lineRule="auto"/>
        <w:rPr>
          <w:rFonts w:ascii="宋体" w:hAnsi="宋体" w:cs="宋体"/>
          <w:szCs w:val="21"/>
        </w:rPr>
      </w:pPr>
      <w:r>
        <w:rPr>
          <w:rFonts w:hint="eastAsia" w:ascii="宋体" w:hAnsi="宋体" w:cs="宋体"/>
          <w:szCs w:val="21"/>
        </w:rPr>
        <w:t xml:space="preserve">2、乙方应对本项目服务人员进行统一管理，指定项目负责人与甲方进行沟通，并根据甲方要求随时调整服务标准。</w:t>
      </w:r>
      <w:r/>
    </w:p>
    <w:p>
      <w:pPr>
        <w:ind w:firstLine="397"/>
        <w:spacing w:line="360" w:lineRule="auto"/>
        <w:rPr>
          <w:rFonts w:ascii="宋体" w:hAnsi="宋体" w:cs="宋体"/>
          <w:szCs w:val="21"/>
        </w:rPr>
      </w:pPr>
      <w:r>
        <w:rPr>
          <w:rFonts w:hint="eastAsia" w:ascii="宋体" w:hAnsi="宋体" w:cs="宋体"/>
          <w:szCs w:val="21"/>
        </w:rPr>
        <w:t xml:space="preserve">3、如甲方认为乙方工作人员不能胜任本职工作的，乙方应及时调整。乙方如需调离已在履行职责的工作人员，须征得甲方同意。</w:t>
      </w:r>
      <w:r/>
    </w:p>
    <w:p>
      <w:pPr>
        <w:ind w:firstLine="397"/>
        <w:spacing w:line="360" w:lineRule="auto"/>
        <w:rPr>
          <w:rFonts w:ascii="宋体" w:hAnsi="宋体" w:cs="宋体"/>
          <w:szCs w:val="21"/>
        </w:rPr>
      </w:pPr>
      <w:r>
        <w:rPr>
          <w:rFonts w:hint="eastAsia" w:ascii="宋体" w:hAnsi="宋体" w:cs="宋体"/>
          <w:szCs w:val="21"/>
        </w:rPr>
        <w:t xml:space="preserve">4、乙方应定期对员工进行岗位职责和安全教育，加强岗位责任考核。因乙方管理不当、违规操作发生安全事故对甲方造成损失的，乙方需承担相应的赔偿责任。</w:t>
      </w:r>
      <w:r/>
    </w:p>
    <w:p>
      <w:pPr>
        <w:ind w:firstLine="397"/>
        <w:spacing w:line="360" w:lineRule="auto"/>
        <w:rPr>
          <w:rFonts w:ascii="宋体" w:hAnsi="宋体" w:cs="宋体"/>
          <w:szCs w:val="21"/>
        </w:rPr>
      </w:pPr>
      <w:r>
        <w:rPr>
          <w:rFonts w:hint="eastAsia" w:ascii="宋体" w:hAnsi="宋体" w:cs="宋体"/>
          <w:szCs w:val="21"/>
        </w:rPr>
        <w:t xml:space="preserve">5、乙方工作人员在岗履行职责期间（包括上下班途中）发生的一切安全事故，均由乙方负责处理并承担经济和道义上的责任，甲方不承担任何责任。</w:t>
      </w:r>
      <w:r/>
    </w:p>
    <w:p>
      <w:pPr>
        <w:ind w:firstLine="397"/>
        <w:spacing w:line="360" w:lineRule="auto"/>
        <w:rPr>
          <w:rFonts w:ascii="宋体" w:hAnsi="宋体" w:cs="宋体"/>
          <w:szCs w:val="21"/>
        </w:rPr>
      </w:pPr>
      <w:r>
        <w:rPr>
          <w:rFonts w:hint="eastAsia" w:ascii="宋体" w:hAnsi="宋体" w:cs="宋体"/>
          <w:szCs w:val="21"/>
        </w:rPr>
        <w:t xml:space="preserve">6、乙方在服务过程中应当做到安全文明工作，为工作人员提供必要的劳动保护条件，为工作人员办理人身安全保险，合同期内若发生安全事故均由乙方负责承担。</w:t>
      </w:r>
      <w:r/>
    </w:p>
    <w:p>
      <w:pPr>
        <w:ind w:firstLine="397"/>
        <w:spacing w:line="360" w:lineRule="auto"/>
        <w:rPr>
          <w:rFonts w:ascii="宋体" w:hAnsi="宋体" w:cs="宋体"/>
          <w:szCs w:val="21"/>
        </w:rPr>
      </w:pPr>
      <w:r>
        <w:rPr>
          <w:rFonts w:hint="eastAsia" w:ascii="宋体" w:hAnsi="宋体" w:cs="宋体"/>
          <w:szCs w:val="21"/>
        </w:rPr>
        <w:t xml:space="preserve">7、乙方必须按照国家有关规定聘用人员并支付薪资报酬。</w:t>
      </w:r>
      <w:r/>
    </w:p>
    <w:p>
      <w:pPr>
        <w:ind w:firstLine="397"/>
        <w:spacing w:line="360" w:lineRule="auto"/>
        <w:rPr>
          <w:rFonts w:ascii="宋体" w:hAnsi="宋体" w:cs="宋体"/>
          <w:szCs w:val="21"/>
        </w:rPr>
      </w:pPr>
      <w:r>
        <w:rPr>
          <w:rFonts w:hint="eastAsia" w:ascii="宋体" w:hAnsi="宋体" w:cs="宋体"/>
          <w:szCs w:val="21"/>
        </w:rPr>
        <w:t xml:space="preserve">8、乙方应具备处理各类运输过程中突发情况的能力，建立各类应急预案，乙方采取各类应急预案所产生的费用由乙方承担。</w:t>
      </w:r>
      <w:r/>
    </w:p>
    <w:p>
      <w:pPr>
        <w:ind w:firstLine="422"/>
        <w:spacing w:line="360" w:lineRule="auto"/>
        <w:rPr>
          <w:rFonts w:ascii="宋体" w:hAnsi="宋体" w:cs="宋体"/>
          <w:b/>
          <w:bCs/>
          <w:szCs w:val="21"/>
        </w:rPr>
      </w:pPr>
      <w:r>
        <w:rPr>
          <w:rFonts w:hint="eastAsia" w:ascii="宋体" w:hAnsi="宋体" w:cs="宋体"/>
          <w:b/>
          <w:bCs/>
          <w:szCs w:val="21"/>
        </w:rPr>
        <w:t xml:space="preserve">七、违约责任：</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1、工作过程中因乙方责任对甲方所造成的经济损失的，由乙方按实际金额赔偿。</w:t>
      </w:r>
      <w:r/>
    </w:p>
    <w:p>
      <w:pPr>
        <w:ind w:firstLine="420"/>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乙方逾期提供服务的，应与甲方协商，甲方仍需求的，乙方应立即提供服务并按照合同总金额的万分之四每天支付逾期违约金，同时承担甲方因此遭致的损失费用；否则甲方有权解除合同</w:t>
      </w:r>
      <w:r>
        <w:rPr>
          <w:rFonts w:hint="eastAsia" w:ascii="宋体" w:hAnsi="宋体" w:cs="宋体"/>
          <w:color w:val="000000"/>
          <w:szCs w:val="21"/>
        </w:rPr>
        <w:t xml:space="preserve">，同时乙方向甲方赔付合同总价款5%作为违约金</w:t>
      </w:r>
      <w:r>
        <w:rPr>
          <w:rFonts w:hint="eastAsia" w:ascii="宋体" w:hAnsi="宋体" w:cs="宋体"/>
          <w:szCs w:val="21"/>
        </w:rPr>
        <w:t xml:space="preserve">，违约金不足以补偿损失的甲方有权要求乙方补足。</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3、乙方未按合同规定的质量要求提供服务，</w:t>
      </w:r>
      <w:r>
        <w:rPr>
          <w:rFonts w:hint="eastAsia" w:ascii="宋体" w:hAnsi="宋体" w:cs="宋体"/>
          <w:szCs w:val="21"/>
        </w:rPr>
        <w:t xml:space="preserve">从而影响甲方按期正常使用的</w:t>
      </w:r>
      <w:r>
        <w:rPr>
          <w:rFonts w:hint="eastAsia" w:ascii="宋体" w:hAnsi="宋体" w:cs="宋体"/>
          <w:color w:val="000000"/>
          <w:szCs w:val="21"/>
        </w:rPr>
        <w:t xml:space="preserve">，甲方有权解除合同，同时乙方向甲方赔付合同总价款5%作为违约金</w:t>
      </w:r>
      <w:r>
        <w:rPr>
          <w:rFonts w:hint="eastAsia" w:ascii="宋体" w:hAnsi="宋体" w:cs="宋体"/>
          <w:szCs w:val="21"/>
        </w:rPr>
        <w:t xml:space="preserve">，违约金不足以补偿损失的甲方有权要求乙方补足</w:t>
      </w:r>
      <w:r>
        <w:rPr>
          <w:rFonts w:hint="eastAsia" w:ascii="宋体" w:hAnsi="宋体" w:cs="宋体"/>
          <w:color w:val="000000"/>
          <w:szCs w:val="21"/>
        </w:rPr>
        <w:t xml:space="preserve">。</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4、合同一方不履行合同义务或违反履行合同义务约定的，应当承担继续履行、采取补救措施或者赔偿损失等责任。</w:t>
      </w:r>
      <w:r/>
    </w:p>
    <w:p>
      <w:pPr>
        <w:ind w:firstLine="422"/>
        <w:spacing w:line="360" w:lineRule="auto"/>
        <w:tabs>
          <w:tab w:val="center" w:pos="5131" w:leader="none"/>
        </w:tabs>
        <w:rPr>
          <w:rFonts w:ascii="宋体" w:hAnsi="宋体" w:cs="宋体"/>
          <w:color w:val="000000"/>
          <w:szCs w:val="21"/>
        </w:rPr>
      </w:pPr>
      <w:r>
        <w:rPr>
          <w:rFonts w:hint="eastAsia" w:ascii="宋体" w:hAnsi="宋体" w:cs="宋体"/>
          <w:b/>
          <w:bCs/>
          <w:szCs w:val="21"/>
        </w:rPr>
        <w:t xml:space="preserve">八、</w:t>
      </w:r>
      <w:r>
        <w:rPr>
          <w:rFonts w:hint="eastAsia" w:ascii="宋体" w:hAnsi="宋体" w:cs="宋体"/>
          <w:b/>
          <w:bCs/>
          <w:color w:val="000000"/>
          <w:szCs w:val="21"/>
        </w:rPr>
        <w:t xml:space="preserve">不可抗力</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1、因不可抗力无法履行合同的，根据不可抗力的影响，部分或者全部免除责任，双方通过友好协商方式解决。但合同一方延迟履行后发生不可抗力的，不能免除责任。</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2、本条所述的“不可抗力”系指那些双方无法控制，不可预见的事件，但不包括双方的违约或疏忽。这些事件包括但不限于：战争、严重火灾、洪水、台风、地震以及其它双方商定的事件。</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3、合同一方因不可抗力不能履行合同的，应当及时通知对方，以减轻可能给对方造成的损失，并应当在合理期限内提供证明。</w:t>
      </w:r>
      <w:r/>
    </w:p>
    <w:p>
      <w:pPr>
        <w:ind w:firstLine="422"/>
        <w:spacing w:line="360" w:lineRule="auto"/>
        <w:tabs>
          <w:tab w:val="center" w:pos="5131" w:leader="none"/>
        </w:tabs>
        <w:rPr>
          <w:rFonts w:ascii="宋体" w:hAnsi="宋体" w:cs="宋体"/>
          <w:color w:val="000000"/>
          <w:szCs w:val="21"/>
        </w:rPr>
      </w:pPr>
      <w:r>
        <w:rPr>
          <w:rFonts w:hint="eastAsia" w:ascii="宋体" w:hAnsi="宋体" w:cs="宋体"/>
          <w:b/>
          <w:bCs/>
          <w:szCs w:val="21"/>
        </w:rPr>
        <w:t xml:space="preserve">九</w:t>
      </w:r>
      <w:r>
        <w:rPr>
          <w:rFonts w:hint="eastAsia" w:ascii="宋体" w:hAnsi="宋体" w:cs="宋体"/>
          <w:b/>
          <w:bCs/>
          <w:color w:val="000000"/>
          <w:szCs w:val="21"/>
        </w:rPr>
        <w:t xml:space="preserve">、合同的解除和转让</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1、甲方和乙方协商一致，可以解除合同。</w:t>
      </w:r>
      <w:r/>
    </w:p>
    <w:p>
      <w:pPr>
        <w:ind w:firstLine="420"/>
        <w:spacing w:line="360" w:lineRule="auto"/>
        <w:tabs>
          <w:tab w:val="center" w:pos="5131" w:leader="none"/>
        </w:tabs>
        <w:rPr>
          <w:rFonts w:ascii="宋体" w:hAnsi="宋体" w:cs="宋体"/>
          <w:szCs w:val="21"/>
        </w:rPr>
      </w:pPr>
      <w:r>
        <w:rPr>
          <w:rFonts w:hint="eastAsia" w:ascii="宋体" w:hAnsi="宋体" w:cs="宋体"/>
          <w:szCs w:val="21"/>
        </w:rPr>
        <w:t xml:space="preserve">2、有下列情形之一，合同一方可以解除合同：</w:t>
      </w:r>
      <w:r/>
    </w:p>
    <w:p>
      <w:pPr>
        <w:ind w:right="-210" w:firstLine="420"/>
        <w:spacing w:line="360" w:lineRule="auto"/>
        <w:rPr>
          <w:rFonts w:ascii="宋体" w:hAnsi="宋体" w:cs="宋体"/>
          <w:szCs w:val="21"/>
        </w:rPr>
      </w:pPr>
      <w:r>
        <w:rPr>
          <w:rFonts w:hint="eastAsia" w:ascii="宋体" w:hAnsi="宋体" w:cs="宋体"/>
          <w:szCs w:val="21"/>
        </w:rPr>
        <w:t xml:space="preserve">①因不可抗力致使不能实现合同目的，未受不可抗力影响的一方有权解除合同。</w:t>
      </w:r>
      <w:r/>
    </w:p>
    <w:p>
      <w:pPr>
        <w:ind w:firstLine="420"/>
        <w:spacing w:line="360" w:lineRule="auto"/>
        <w:tabs>
          <w:tab w:val="center" w:pos="5131" w:leader="none"/>
        </w:tabs>
        <w:rPr>
          <w:rFonts w:ascii="宋体" w:hAnsi="宋体" w:cs="宋体"/>
          <w:color w:val="000000"/>
          <w:szCs w:val="21"/>
        </w:rPr>
      </w:pPr>
      <w:r>
        <w:rPr>
          <w:rFonts w:hint="eastAsia" w:ascii="宋体" w:hAnsi="宋体" w:cs="宋体"/>
          <w:color w:val="000000"/>
          <w:szCs w:val="21"/>
        </w:rPr>
        <w:t xml:space="preserve">②因合同一方违约导致合同不能履行，另一方有权解除合同。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③</w:t>
      </w:r>
      <w:r>
        <w:rPr>
          <w:rFonts w:hint="eastAsia" w:ascii="宋体" w:hAnsi="宋体" w:cs="宋体"/>
          <w:szCs w:val="21"/>
        </w:rPr>
        <w:t xml:space="preserve">乙方未按招标要求或承诺提供服务，甲方要求乙方整改但乙方拒不整改，超过三次，甲方有权解</w:t>
      </w:r>
      <w:r>
        <w:rPr>
          <w:rFonts w:hint="eastAsia" w:ascii="宋体" w:hAnsi="宋体" w:cs="宋体"/>
          <w:color w:val="000000"/>
          <w:szCs w:val="21"/>
        </w:rPr>
        <w:t xml:space="preserve">除合同。</w:t>
      </w:r>
      <w:r/>
    </w:p>
    <w:p>
      <w:pPr>
        <w:ind w:firstLine="420"/>
        <w:spacing w:line="360" w:lineRule="auto"/>
        <w:rPr>
          <w:rFonts w:ascii="宋体" w:hAnsi="宋体" w:cs="宋体"/>
          <w:szCs w:val="21"/>
        </w:rPr>
      </w:pPr>
      <w:r>
        <w:rPr>
          <w:rFonts w:hint="eastAsia" w:ascii="宋体" w:hAnsi="宋体" w:cs="宋体"/>
          <w:color w:val="000000"/>
          <w:szCs w:val="21"/>
        </w:rPr>
        <w:t xml:space="preserve">④未经</w:t>
      </w:r>
      <w:r>
        <w:rPr>
          <w:rFonts w:hint="eastAsia" w:ascii="宋体" w:hAnsi="宋体" w:cs="宋体"/>
          <w:szCs w:val="21"/>
        </w:rPr>
        <w:t xml:space="preserve">甲方同意，乙方擅自将合同转让或进行分包的，甲方有权解除合同。</w:t>
      </w:r>
      <w:r/>
    </w:p>
    <w:p>
      <w:pPr>
        <w:ind w:firstLine="422"/>
        <w:spacing w:line="360" w:lineRule="auto"/>
        <w:rPr>
          <w:rFonts w:ascii="宋体" w:hAnsi="宋体" w:cs="宋体"/>
          <w:color w:val="000000"/>
          <w:szCs w:val="21"/>
          <w:lang w:val="zh-CN"/>
        </w:rPr>
      </w:pPr>
      <w:r>
        <w:rPr>
          <w:rFonts w:hint="eastAsia" w:ascii="宋体" w:hAnsi="宋体" w:cs="宋体"/>
          <w:b/>
          <w:bCs/>
          <w:szCs w:val="21"/>
        </w:rPr>
        <w:t xml:space="preserve">十</w:t>
      </w:r>
      <w:r>
        <w:rPr>
          <w:rFonts w:hint="eastAsia" w:ascii="宋体" w:hAnsi="宋体" w:cs="宋体"/>
          <w:b/>
          <w:bCs/>
          <w:color w:val="000000"/>
          <w:szCs w:val="21"/>
          <w:lang w:val="zh-CN"/>
        </w:rPr>
        <w:t xml:space="preserve">、合同争议的解决</w:t>
      </w:r>
      <w:r/>
    </w:p>
    <w:p>
      <w:pPr>
        <w:ind w:firstLine="425"/>
        <w:spacing w:line="360" w:lineRule="auto"/>
        <w:rPr>
          <w:rFonts w:ascii="宋体" w:hAnsi="宋体" w:cs="宋体"/>
          <w:color w:val="000000"/>
          <w:szCs w:val="21"/>
        </w:rPr>
      </w:pPr>
      <w:r>
        <w:rPr>
          <w:rFonts w:hint="eastAsia" w:ascii="宋体" w:hAnsi="宋体" w:cs="宋体"/>
          <w:color w:val="000000"/>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2"/>
        <w:spacing w:line="360" w:lineRule="auto"/>
        <w:rPr>
          <w:rFonts w:ascii="宋体" w:hAnsi="宋体" w:cs="宋体"/>
          <w:b/>
          <w:bCs/>
          <w:szCs w:val="21"/>
        </w:rPr>
      </w:pPr>
      <w:r>
        <w:rPr>
          <w:rFonts w:hint="eastAsia" w:ascii="宋体" w:hAnsi="宋体" w:cs="宋体"/>
          <w:b/>
          <w:bCs/>
          <w:szCs w:val="21"/>
        </w:rPr>
        <w:t xml:space="preserve">十一、合同生效及其他</w:t>
      </w:r>
      <w:r/>
    </w:p>
    <w:p>
      <w:pPr>
        <w:ind w:firstLine="425"/>
        <w:spacing w:line="360" w:lineRule="auto"/>
        <w:rPr>
          <w:rFonts w:ascii="宋体" w:hAnsi="宋体" w:cs="宋体"/>
          <w:szCs w:val="21"/>
        </w:rPr>
      </w:pPr>
      <w:r>
        <w:rPr>
          <w:rFonts w:hint="eastAsia" w:ascii="宋体" w:hAnsi="宋体" w:cs="宋体"/>
          <w:color w:val="000000"/>
          <w:szCs w:val="21"/>
        </w:rPr>
        <w:t xml:space="preserve">1、合同经甲乙双方</w:t>
      </w:r>
      <w:r>
        <w:rPr>
          <w:rFonts w:hint="eastAsia" w:ascii="宋体" w:hAnsi="宋体"/>
          <w:color w:val="000000"/>
          <w:szCs w:val="21"/>
        </w:rPr>
        <w:t xml:space="preserve">各自法定代表人或被授权代表签字盖章</w:t>
      </w:r>
      <w:r>
        <w:rPr>
          <w:rFonts w:hint="eastAsia" w:ascii="宋体" w:hAnsi="宋体" w:cs="宋体"/>
          <w:szCs w:val="21"/>
        </w:rPr>
        <w:t xml:space="preserve">后生效。</w:t>
      </w:r>
      <w:r/>
    </w:p>
    <w:p>
      <w:pPr>
        <w:ind w:firstLine="420"/>
        <w:spacing w:line="360" w:lineRule="auto"/>
        <w:rPr>
          <w:rFonts w:ascii="宋体" w:hAnsi="宋体" w:cs="宋体"/>
          <w:szCs w:val="21"/>
        </w:rPr>
      </w:pPr>
      <w:r>
        <w:rPr>
          <w:rFonts w:hint="eastAsia" w:ascii="宋体" w:hAnsi="宋体" w:cs="宋体"/>
          <w:szCs w:val="21"/>
        </w:rPr>
        <w:t xml:space="preserve">2、本合同一式四份，甲方两份、乙方和招标代理机构各执一份，</w:t>
      </w:r>
      <w:r>
        <w:rPr>
          <w:rFonts w:hint="eastAsia" w:ascii="宋体" w:hAnsi="宋体"/>
          <w:color w:val="000000"/>
          <w:szCs w:val="21"/>
        </w:rPr>
        <w:t xml:space="preserve">各份具有同等法律效力</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4、招标文件、中标的投标文件、中标通知书、中标单位在招标过程中的澄清和承诺等、合同附件、补充协议（如有）均为本合同不可缺少的组成部分。</w:t>
      </w:r>
      <w:r/>
    </w:p>
    <w:p>
      <w:pPr>
        <w:ind w:firstLine="420"/>
        <w:spacing w:line="360" w:lineRule="auto"/>
      </w:pPr>
      <w:r>
        <w:rPr>
          <w:rFonts w:hint="eastAsia" w:ascii="宋体" w:hAnsi="宋体" w:cs="宋体"/>
          <w:szCs w:val="21"/>
        </w:rPr>
        <w:t xml:space="preserve">5、</w:t>
      </w:r>
      <w:r>
        <w:rPr>
          <w:rFonts w:hint="eastAsia" w:ascii="宋体" w:hAnsi="宋体" w:cs="宋体"/>
          <w:szCs w:val="21"/>
          <w:lang w:val="zh-CN"/>
        </w:rPr>
        <w:t xml:space="preserve">本合同未尽事宜应按《中华人民共和国政府采购法》、《中华</w:t>
      </w:r>
      <w:r>
        <w:rPr>
          <w:rFonts w:hint="eastAsia" w:ascii="宋体" w:hAnsi="宋体" w:cs="宋体"/>
          <w:color w:val="000000"/>
          <w:szCs w:val="21"/>
          <w:lang w:val="zh-CN"/>
        </w:rPr>
        <w:t xml:space="preserve">人民共和国民法典》等相关法律法规等规定之解释。</w:t>
      </w:r>
      <w:r/>
    </w:p>
    <w:p>
      <w:pPr>
        <w:pStyle w:val="712"/>
        <w:ind w:firstLine="420"/>
        <w:rPr>
          <w:rFonts w:hint="default"/>
        </w:rPr>
      </w:pPr>
      <w:r>
        <w:rPr>
          <w:rFonts w:hint="default"/>
        </w:rPr>
      </w:r>
      <w:r/>
    </w:p>
    <w:p>
      <w:pPr>
        <w:ind w:firstLine="424"/>
        <w:spacing w:line="560" w:lineRule="exact"/>
        <w:tabs>
          <w:tab w:val="left" w:pos="0" w:leader="none"/>
        </w:tabs>
        <w:rPr>
          <w:rFonts w:ascii="宋体" w:hAnsi="宋体"/>
          <w:szCs w:val="21"/>
        </w:rPr>
      </w:pPr>
      <w:r>
        <w:rPr>
          <w:rFonts w:ascii="宋体" w:hAnsi="宋体"/>
          <w:szCs w:val="21"/>
        </w:rPr>
        <w:t xml:space="preserve">甲方(</w:t>
      </w:r>
      <w:r>
        <w:rPr>
          <w:rFonts w:hint="eastAsia" w:ascii="宋体" w:hAnsi="宋体"/>
          <w:szCs w:val="21"/>
        </w:rPr>
        <w:t xml:space="preserve">盖章</w:t>
      </w:r>
      <w:r>
        <w:rPr>
          <w:rFonts w:ascii="宋体" w:hAnsi="宋体"/>
          <w:szCs w:val="21"/>
        </w:rPr>
        <w:t xml:space="preserve">)：       </w:t>
      </w:r>
      <w:r>
        <w:rPr>
          <w:rFonts w:hint="eastAsia" w:ascii="宋体" w:hAnsi="宋体"/>
          <w:szCs w:val="21"/>
        </w:rPr>
        <w:t xml:space="preserve">                          </w:t>
      </w:r>
      <w:r>
        <w:rPr>
          <w:rFonts w:ascii="宋体" w:hAnsi="宋体"/>
          <w:szCs w:val="21"/>
        </w:rPr>
        <w:t xml:space="preserve">乙方（</w:t>
      </w:r>
      <w:r>
        <w:rPr>
          <w:rFonts w:hint="eastAsia" w:ascii="宋体" w:hAnsi="宋体"/>
          <w:szCs w:val="21"/>
        </w:rPr>
        <w:t xml:space="preserve">盖章</w:t>
      </w:r>
      <w:r>
        <w:rPr>
          <w:rFonts w:ascii="宋体" w:hAnsi="宋体"/>
          <w:szCs w:val="21"/>
        </w:rPr>
        <w:t xml:space="preserve">）：</w:t>
      </w:r>
      <w:r>
        <w:rPr>
          <w:rFonts w:hint="eastAsia" w:ascii="宋体" w:hAnsi="宋体"/>
          <w:szCs w:val="21"/>
        </w:rPr>
        <w:t xml:space="preserve">           </w:t>
      </w:r>
      <w:r>
        <w:rPr>
          <w:rFonts w:ascii="宋体" w:hAnsi="宋体"/>
          <w:spacing w:val="-10"/>
          <w:szCs w:val="21"/>
        </w:rPr>
        <w:t xml:space="preserve">  </w:t>
      </w:r>
      <w:r/>
    </w:p>
    <w:p>
      <w:pPr>
        <w:ind w:firstLine="424"/>
        <w:spacing w:line="560" w:lineRule="exact"/>
        <w:tabs>
          <w:tab w:val="left" w:pos="0" w:leader="none"/>
        </w:tabs>
        <w:rPr>
          <w:rFonts w:ascii="宋体" w:hAnsi="宋体"/>
          <w:szCs w:val="21"/>
        </w:rPr>
      </w:pPr>
      <w:r>
        <w:rPr>
          <w:rFonts w:ascii="宋体" w:hAnsi="宋体"/>
          <w:szCs w:val="21"/>
        </w:rPr>
        <w:t xml:space="preserve">法</w:t>
      </w:r>
      <w:r>
        <w:rPr>
          <w:rFonts w:hint="eastAsia" w:ascii="宋体" w:hAnsi="宋体"/>
          <w:szCs w:val="21"/>
        </w:rPr>
        <w:t xml:space="preserve">定</w:t>
      </w:r>
      <w:r>
        <w:rPr>
          <w:rFonts w:ascii="宋体" w:hAnsi="宋体"/>
          <w:szCs w:val="21"/>
        </w:rPr>
        <w:t xml:space="preserve">代表</w:t>
      </w:r>
      <w:r>
        <w:rPr>
          <w:rFonts w:hint="eastAsia" w:ascii="宋体" w:hAnsi="宋体"/>
          <w:szCs w:val="21"/>
        </w:rPr>
        <w:t xml:space="preserve">人：</w:t>
      </w:r>
      <w:r>
        <w:rPr>
          <w:rFonts w:ascii="宋体" w:hAnsi="宋体"/>
          <w:szCs w:val="21"/>
        </w:rPr>
        <w:tab/>
        <w:t xml:space="preserve">                             法</w:t>
      </w:r>
      <w:r>
        <w:rPr>
          <w:rFonts w:hint="eastAsia" w:ascii="宋体" w:hAnsi="宋体"/>
          <w:szCs w:val="21"/>
        </w:rPr>
        <w:t xml:space="preserve">定</w:t>
      </w:r>
      <w:r>
        <w:rPr>
          <w:rFonts w:ascii="宋体" w:hAnsi="宋体"/>
          <w:szCs w:val="21"/>
        </w:rPr>
        <w:t xml:space="preserve">代表</w:t>
      </w:r>
      <w:r>
        <w:rPr>
          <w:rFonts w:hint="eastAsia" w:ascii="宋体" w:hAnsi="宋体"/>
          <w:szCs w:val="21"/>
        </w:rPr>
        <w:t xml:space="preserve">人：</w:t>
      </w:r>
      <w:r/>
    </w:p>
    <w:p>
      <w:pPr>
        <w:ind w:firstLine="424"/>
        <w:spacing w:line="560" w:lineRule="exact"/>
        <w:tabs>
          <w:tab w:val="left" w:pos="0" w:leader="none"/>
        </w:tabs>
        <w:rPr>
          <w:rFonts w:ascii="宋体" w:hAnsi="宋体"/>
          <w:szCs w:val="21"/>
        </w:rPr>
      </w:pPr>
      <w:r>
        <w:rPr>
          <w:rFonts w:ascii="宋体" w:hAnsi="宋体"/>
          <w:szCs w:val="21"/>
        </w:rPr>
        <w:t xml:space="preserve">或其授权代理人</w:t>
      </w:r>
      <w:r>
        <w:rPr>
          <w:rFonts w:hint="eastAsia" w:ascii="宋体" w:hAnsi="宋体"/>
          <w:szCs w:val="21"/>
        </w:rPr>
        <w:t xml:space="preserve">：</w:t>
      </w:r>
      <w:r>
        <w:rPr>
          <w:rFonts w:ascii="宋体" w:hAnsi="宋体"/>
          <w:szCs w:val="21"/>
        </w:rPr>
        <w:t xml:space="preserve">                             或其授权代理人</w:t>
      </w:r>
      <w:r>
        <w:rPr>
          <w:rFonts w:hint="eastAsia" w:ascii="宋体" w:hAnsi="宋体"/>
          <w:szCs w:val="21"/>
        </w:rPr>
        <w:t xml:space="preserve">：</w:t>
      </w:r>
      <w:r>
        <w:rPr>
          <w:rFonts w:ascii="宋体" w:hAnsi="宋体"/>
          <w:szCs w:val="21"/>
        </w:rPr>
        <w:t xml:space="preserve"> </w:t>
      </w:r>
      <w:r/>
    </w:p>
    <w:p>
      <w:pPr>
        <w:ind w:firstLine="424"/>
        <w:spacing w:line="360" w:lineRule="auto"/>
        <w:tabs>
          <w:tab w:val="left" w:pos="0" w:leader="none"/>
        </w:tabs>
        <w:rPr>
          <w:rFonts w:ascii="宋体" w:hAnsi="宋体"/>
          <w:szCs w:val="21"/>
        </w:rPr>
      </w:pPr>
      <w:r>
        <w:rPr>
          <w:rFonts w:ascii="宋体" w:hAnsi="宋体"/>
          <w:szCs w:val="21"/>
        </w:rPr>
        <w:t xml:space="preserve">    年   月   日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年   月   日</w:t>
      </w:r>
      <w:r/>
    </w:p>
    <w:p>
      <w:pPr>
        <w:pStyle w:val="712"/>
        <w:rPr>
          <w:rFonts w:hint="default" w:hAnsi="宋体"/>
          <w:szCs w:val="21"/>
        </w:rPr>
      </w:pPr>
      <w:r>
        <w:rPr>
          <w:rFonts w:hint="default"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00"/>
        <w:jc w:val="center"/>
        <w:spacing w:line="578" w:lineRule="auto"/>
        <w:rPr>
          <w:rFonts w:ascii="宋体" w:hAnsi="宋体" w:eastAsia="宋体"/>
          <w:sz w:val="32"/>
          <w:szCs w:val="32"/>
        </w:rPr>
      </w:pPr>
      <w:r/>
      <w:bookmarkStart w:id="93" w:name="_Toc116396567"/>
      <w:r>
        <w:rPr>
          <w:rFonts w:hint="eastAsia" w:ascii="宋体" w:hAnsi="宋体" w:eastAsia="宋体"/>
          <w:sz w:val="32"/>
          <w:szCs w:val="32"/>
        </w:rPr>
        <w:t xml:space="preserve">第六章  评标方法、采购政策、评分标准</w:t>
      </w:r>
      <w:bookmarkEnd w:id="91"/>
      <w:r/>
      <w:bookmarkEnd w:id="92"/>
      <w:r/>
      <w:bookmarkEnd w:id="93"/>
      <w:r/>
      <w:r/>
    </w:p>
    <w:p>
      <w:pPr>
        <w:ind w:firstLine="422"/>
        <w:spacing w:line="360" w:lineRule="auto"/>
        <w:rPr>
          <w:rFonts w:asciiTheme="minorEastAsia" w:hAnsiTheme="minorEastAsia" w:eastAsiaTheme="minorEastAsia"/>
          <w:szCs w:val="21"/>
        </w:rPr>
        <w:outlineLvl w:val="1"/>
      </w:pPr>
      <w:r/>
      <w:bookmarkStart w:id="94" w:name="_Toc116396247"/>
      <w:r/>
      <w:bookmarkStart w:id="95" w:name="_Toc116396568"/>
      <w:r>
        <w:rPr>
          <w:rFonts w:hint="eastAsia" w:asciiTheme="minorEastAsia" w:hAnsiTheme="minorEastAsia" w:eastAsiaTheme="minorEastAsia"/>
          <w:b/>
          <w:bCs/>
          <w:szCs w:val="21"/>
        </w:rPr>
        <w:t xml:space="preserve">一、评标办法</w:t>
      </w:r>
      <w:bookmarkEnd w:id="94"/>
      <w:r/>
      <w:bookmarkEnd w:id="95"/>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w:t>
      </w:r>
      <w:r>
        <w:rPr>
          <w:rFonts w:hint="eastAsia" w:ascii="宋体" w:hAnsi="宋体"/>
        </w:rPr>
        <w:t xml:space="preserve">则以抽签决定中标人</w:t>
      </w:r>
      <w:r>
        <w:rPr>
          <w:rFonts w:hint="eastAsia" w:asciiTheme="minorEastAsia" w:hAnsiTheme="minorEastAsia" w:eastAsiaTheme="minorEastAsia"/>
          <w:szCs w:val="21"/>
        </w:rPr>
        <w:t xml:space="preserve">。</w:t>
      </w:r>
      <w:r/>
    </w:p>
    <w:p>
      <w:pPr>
        <w:ind w:firstLine="422"/>
        <w:spacing w:line="360" w:lineRule="auto"/>
        <w:rPr>
          <w:rFonts w:asciiTheme="minorEastAsia" w:hAnsiTheme="minorEastAsia" w:eastAsiaTheme="minorEastAsia"/>
          <w:b/>
          <w:bCs/>
          <w:szCs w:val="21"/>
        </w:rPr>
        <w:outlineLvl w:val="1"/>
      </w:pPr>
      <w:r/>
      <w:bookmarkStart w:id="96" w:name="_Toc116396248"/>
      <w:r/>
      <w:bookmarkStart w:id="97" w:name="_Toc116396569"/>
      <w:r>
        <w:rPr>
          <w:rFonts w:hint="eastAsia" w:asciiTheme="minorEastAsia" w:hAnsiTheme="minorEastAsia" w:eastAsiaTheme="minorEastAsia"/>
          <w:b/>
          <w:bCs/>
          <w:szCs w:val="21"/>
        </w:rPr>
        <w:t xml:space="preserve">二、采购政策</w:t>
      </w:r>
      <w:bookmarkEnd w:id="96"/>
      <w:r/>
      <w:bookmarkEnd w:id="97"/>
      <w:r/>
      <w:r/>
    </w:p>
    <w:p>
      <w:pPr>
        <w:ind w:firstLine="420"/>
        <w:spacing w:line="360" w:lineRule="auto"/>
        <w:rPr>
          <w:rFonts w:cs="宋体" w:asciiTheme="minorEastAsia" w:hAnsiTheme="minorEastAsia" w:eastAsiaTheme="minorEastAsia"/>
          <w:szCs w:val="21"/>
        </w:rPr>
      </w:pPr>
      <w:r>
        <w:rPr>
          <w:rFonts w:hint="eastAsia" w:asciiTheme="minorEastAsia" w:hAnsiTheme="minorEastAsia" w:eastAsiaTheme="minorEastAsia"/>
          <w:szCs w:val="21"/>
        </w:rPr>
        <w:t xml:space="preserve">（一）小、微企业</w:t>
      </w:r>
      <w:r/>
    </w:p>
    <w:p>
      <w:pPr>
        <w:ind w:firstLine="420"/>
        <w:jc w:val="left"/>
        <w:spacing w:line="360" w:lineRule="auto"/>
        <w:rPr>
          <w:rFonts w:cs="宋体" w:asciiTheme="minorEastAsia" w:hAnsiTheme="minorEastAsia" w:eastAsiaTheme="minorEastAsia"/>
          <w:szCs w:val="21"/>
        </w:rPr>
      </w:pPr>
      <w:r>
        <w:rPr>
          <w:rFonts w:hint="eastAsia" w:asciiTheme="minorEastAsia" w:hAnsiTheme="minorEastAsia" w:eastAsiaTheme="minorEastAsia"/>
          <w:szCs w:val="21"/>
        </w:rPr>
        <w:t xml:space="preserve">根据《</w:t>
      </w:r>
      <w:r>
        <w:rPr>
          <w:rFonts w:asciiTheme="minorEastAsia" w:hAnsiTheme="minorEastAsia" w:eastAsiaTheme="minorEastAsia"/>
          <w:szCs w:val="21"/>
          <w:lang w:val="zh-CN"/>
        </w:rPr>
        <w:t xml:space="preserve">政府采购促进中小企业发展管理办法</w:t>
      </w:r>
      <w:r>
        <w:rPr>
          <w:rFonts w:hint="eastAsia" w:asciiTheme="minorEastAsia" w:hAnsiTheme="minorEastAsia" w:eastAsiaTheme="minorEastAsia"/>
          <w:szCs w:val="21"/>
          <w:lang w:val="zh-CN"/>
        </w:rPr>
        <w:t xml:space="preserve">》(财库〔2020〕46号)、《苏州市政府采购促进中小企业发展实施意见》（苏财购〔2022〕16号）的</w:t>
      </w:r>
      <w:r>
        <w:rPr>
          <w:rFonts w:hint="eastAsia" w:asciiTheme="minorEastAsia" w:hAnsiTheme="minorEastAsia" w:eastAsiaTheme="minorEastAsia"/>
          <w:szCs w:val="21"/>
        </w:rPr>
        <w:t xml:space="preserve">相关规定，</w:t>
      </w:r>
      <w:r>
        <w:rPr>
          <w:rFonts w:hint="eastAsia" w:cs="宋体" w:asciiTheme="minorEastAsia" w:hAnsiTheme="minorEastAsia" w:eastAsiaTheme="minorEastAsia"/>
          <w:b/>
          <w:szCs w:val="21"/>
        </w:rPr>
        <w:t xml:space="preserve">本项目专门面向中小企业采购</w:t>
      </w:r>
      <w:r>
        <w:rPr>
          <w:rFonts w:hint="eastAsia" w:asciiTheme="minorEastAsia" w:hAnsiTheme="minorEastAsia" w:eastAsiaTheme="minorEastAsia"/>
          <w:szCs w:val="21"/>
          <w:lang w:val="zh-CN"/>
        </w:rPr>
        <w:t xml:space="preserve">，如</w:t>
      </w:r>
      <w:r>
        <w:rPr>
          <w:rFonts w:hint="eastAsia" w:asciiTheme="minorEastAsia" w:hAnsiTheme="minorEastAsia" w:eastAsiaTheme="minorEastAsia"/>
          <w:szCs w:val="21"/>
        </w:rPr>
        <w:t xml:space="preserve">供应商</w:t>
      </w:r>
      <w:r>
        <w:rPr>
          <w:rFonts w:hint="eastAsia" w:asciiTheme="minorEastAsia" w:hAnsiTheme="minorEastAsia" w:eastAsiaTheme="minorEastAsia"/>
          <w:szCs w:val="21"/>
          <w:lang w:val="zh-CN"/>
        </w:rPr>
        <w:t xml:space="preserve">认定本企业为中型、小型或微型企业，需根据《中</w:t>
      </w:r>
      <w:r>
        <w:rPr>
          <w:rFonts w:hint="eastAsia" w:asciiTheme="minorEastAsia" w:hAnsiTheme="minorEastAsia" w:eastAsiaTheme="minorEastAsia"/>
          <w:szCs w:val="21"/>
        </w:rPr>
        <w:t xml:space="preserve">小企业划型标准规定》（工信部联企业〔2011〕300号）填报《</w:t>
      </w:r>
      <w:r>
        <w:rPr>
          <w:rFonts w:hint="eastAsia" w:cs="宋体" w:asciiTheme="minorEastAsia" w:hAnsiTheme="minorEastAsia" w:eastAsiaTheme="minorEastAsia"/>
          <w:szCs w:val="21"/>
        </w:rPr>
        <w:t xml:space="preserve">中小企业声明函》。</w:t>
      </w:r>
      <w:r>
        <w:rPr>
          <w:rFonts w:hint="eastAsia" w:cs="宋体" w:asciiTheme="minorEastAsia" w:hAnsiTheme="minorEastAsia" w:eastAsiaTheme="minorEastAsia"/>
          <w:b/>
          <w:bCs/>
          <w:szCs w:val="21"/>
        </w:rPr>
        <w:t xml:space="preserve">加盖公章后的《中小企业声明函》电子件放置于投标文件中提交。</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根据《三部门联合发布关于促进残疾人就业政府采购政策的通知》（财库〔2017〕141号）的相关规定，如供应商为残疾人福利性单位，则视同</w:t>
      </w:r>
      <w:r>
        <w:rPr>
          <w:rFonts w:asciiTheme="minorEastAsia" w:hAnsiTheme="minorEastAsia" w:eastAsiaTheme="minorEastAsia"/>
          <w:szCs w:val="21"/>
        </w:rPr>
        <w:t xml:space="preserve">小型、微</w:t>
      </w:r>
      <w:r>
        <w:rPr>
          <w:rFonts w:hint="eastAsia" w:asciiTheme="minorEastAsia" w:hAnsiTheme="minorEastAsia" w:eastAsiaTheme="minorEastAsia"/>
          <w:szCs w:val="21"/>
        </w:rPr>
        <w:t xml:space="preserve">型企业，享受预留份额的政府采购政策。</w:t>
      </w:r>
      <w:r>
        <w:rPr>
          <w:rFonts w:hint="eastAsia" w:asciiTheme="minorEastAsia" w:hAnsiTheme="minorEastAsia" w:eastAsiaTheme="minorEastAsia"/>
          <w:b/>
          <w:szCs w:val="21"/>
        </w:rPr>
        <w:t xml:space="preserve">加盖公章后的《残疾人福利性单位声明函》电子件放置于投标文件中提交。</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w:t>
      </w:r>
      <w:r>
        <w:rPr>
          <w:rFonts w:asciiTheme="minorEastAsia" w:hAnsiTheme="minorEastAsia" w:eastAsiaTheme="minorEastAsia"/>
          <w:szCs w:val="21"/>
        </w:rPr>
        <w:t xml:space="preserve">小型、微</w:t>
      </w:r>
      <w:r>
        <w:rPr>
          <w:rFonts w:hint="eastAsia" w:asciiTheme="minorEastAsia" w:hAnsiTheme="minorEastAsia" w:eastAsiaTheme="minorEastAsia"/>
          <w:szCs w:val="21"/>
        </w:rPr>
        <w:t xml:space="preserve">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（四）绿色采购</w:t>
      </w:r>
      <w:r/>
    </w:p>
    <w:p>
      <w:p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根据《关于调整优化节能产品、环境标志产品政府采购执行机制的通知》（财库〔2019〕9号）等相关文件的规定，</w:t>
      </w:r>
      <w:r>
        <w:rPr>
          <w:rFonts w:hint="eastAsia" w:asciiTheme="minorEastAsia" w:hAnsiTheme="minorEastAsia" w:eastAsiaTheme="minorEastAsia"/>
          <w:b/>
          <w:szCs w:val="21"/>
        </w:rPr>
        <w:t xml:space="preserve">对属于《节能产品政府采购品目清单》政府强制采购产品的，供应商需提供该产品有效期内的认证等相关证明材料，证明材料电子件放置于投标文件中提交。</w:t>
      </w:r>
      <w:r/>
    </w:p>
    <w:p>
      <w:pPr>
        <w:numPr>
          <w:ilvl w:val="0"/>
          <w:numId w:val="1"/>
        </w:numPr>
        <w:ind w:firstLine="42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22"/>
        <w:spacing w:line="360" w:lineRule="auto"/>
        <w:rPr>
          <w:rFonts w:asciiTheme="minorEastAsia" w:hAnsiTheme="minorEastAsia" w:eastAsiaTheme="minorEastAsia"/>
          <w:b/>
          <w:bCs/>
          <w:szCs w:val="21"/>
        </w:rPr>
        <w:outlineLvl w:val="1"/>
      </w:pPr>
      <w:r/>
      <w:bookmarkStart w:id="98" w:name="_Toc116396249"/>
      <w:r/>
      <w:bookmarkStart w:id="99" w:name="_Toc116396570"/>
      <w:r>
        <w:rPr>
          <w:rFonts w:hint="eastAsia" w:asciiTheme="minorEastAsia" w:hAnsiTheme="minorEastAsia" w:eastAsiaTheme="minorEastAsia"/>
          <w:b/>
          <w:bCs/>
          <w:szCs w:val="21"/>
        </w:rPr>
        <w:t xml:space="preserve">三、评分标准</w:t>
      </w:r>
      <w:bookmarkEnd w:id="98"/>
      <w:r/>
      <w:bookmarkEnd w:id="99"/>
      <w:r/>
      <w:r/>
    </w:p>
    <w:p>
      <w:pPr>
        <w:ind w:firstLine="420"/>
        <w:spacing w:line="360" w:lineRule="auto"/>
        <w:rPr>
          <w:rFonts w:ascii="宋体" w:hAnsi="宋体"/>
          <w:szCs w:val="21"/>
        </w:rPr>
      </w:pPr>
      <w:r>
        <w:rPr>
          <w:rFonts w:hint="eastAsia" w:ascii="宋体" w:hAnsi="宋体"/>
          <w:szCs w:val="21"/>
        </w:rPr>
        <w:t xml:space="preserve">（一）价格（10分）</w:t>
      </w:r>
      <w:r/>
    </w:p>
    <w:p>
      <w:pPr>
        <w:ind w:firstLine="420"/>
        <w:spacing w:line="360" w:lineRule="auto"/>
        <w:rPr>
          <w:rFonts w:ascii="宋体" w:hAnsi="宋体" w:cs="宋体"/>
          <w:b/>
          <w:bCs/>
          <w:szCs w:val="21"/>
        </w:rPr>
      </w:pPr>
      <w:r>
        <w:rPr>
          <w:rFonts w:hint="eastAsia" w:ascii="宋体" w:hAnsi="宋体"/>
          <w:b/>
          <w:szCs w:val="21"/>
        </w:rPr>
        <w:t xml:space="preserve">1、</w:t>
      </w:r>
      <w:r>
        <w:rPr>
          <w:rFonts w:ascii="宋体" w:hAnsi="宋体" w:cs="宋体"/>
          <w:b/>
          <w:bCs/>
          <w:szCs w:val="21"/>
        </w:rPr>
        <w:t xml:space="preserve">本次采购报价按照</w:t>
      </w:r>
      <w:r>
        <w:rPr>
          <w:rFonts w:hint="eastAsia" w:ascii="宋体" w:hAnsi="宋体" w:cs="宋体"/>
          <w:b/>
          <w:bCs/>
          <w:szCs w:val="21"/>
        </w:rPr>
        <w:t xml:space="preserve">折扣率</w:t>
      </w:r>
      <w:r>
        <w:rPr>
          <w:rFonts w:ascii="宋体" w:hAnsi="宋体" w:cs="宋体"/>
          <w:b/>
          <w:bCs/>
          <w:szCs w:val="21"/>
        </w:rPr>
        <w:t xml:space="preserve">报价。如报价打九折，则报价表中报价填写</w:t>
      </w:r>
      <w:r>
        <w:rPr>
          <w:rFonts w:hint="eastAsia" w:ascii="宋体" w:hAnsi="宋体" w:cs="宋体"/>
          <w:b/>
          <w:bCs/>
          <w:szCs w:val="21"/>
        </w:rPr>
        <w:t xml:space="preserve">折扣率90%</w:t>
      </w:r>
      <w:r>
        <w:rPr>
          <w:rFonts w:ascii="宋体" w:hAnsi="宋体" w:cs="宋体"/>
          <w:b/>
          <w:bCs/>
          <w:szCs w:val="21"/>
        </w:rPr>
        <w:t xml:space="preserve">；如报价打八五折，则报价表中报价填写</w:t>
      </w:r>
      <w:r>
        <w:rPr>
          <w:rFonts w:hint="eastAsia" w:ascii="宋体" w:hAnsi="宋体" w:cs="宋体"/>
          <w:b/>
          <w:bCs/>
          <w:szCs w:val="21"/>
        </w:rPr>
        <w:t xml:space="preserve">折扣率85%</w:t>
      </w:r>
      <w:r>
        <w:rPr>
          <w:rFonts w:ascii="宋体" w:hAnsi="宋体" w:cs="宋体"/>
          <w:b/>
          <w:bCs/>
          <w:szCs w:val="21"/>
        </w:rPr>
        <w:t xml:space="preserve">；以此类推。</w:t>
      </w:r>
      <w:r/>
    </w:p>
    <w:p>
      <w:pPr>
        <w:ind w:firstLine="420"/>
        <w:spacing w:line="360" w:lineRule="auto"/>
        <w:rPr>
          <w:rFonts w:ascii="宋体" w:hAnsi="宋体"/>
          <w:szCs w:val="21"/>
        </w:rPr>
      </w:pPr>
      <w:r>
        <w:rPr>
          <w:rFonts w:hint="eastAsia" w:ascii="宋体" w:hAnsi="宋体" w:cs="宋体"/>
          <w:b/>
          <w:bCs/>
          <w:szCs w:val="21"/>
        </w:rPr>
        <w:t xml:space="preserve">2、</w:t>
      </w:r>
      <w:r>
        <w:rPr>
          <w:rFonts w:ascii="宋体" w:hAnsi="宋体" w:cs="宋体"/>
          <w:b/>
          <w:bCs/>
          <w:szCs w:val="21"/>
        </w:rPr>
        <w:t xml:space="preserve">价格得分计算方法：根据各供应商通过符合性审查的有效响应</w:t>
      </w:r>
      <w:r>
        <w:rPr>
          <w:rFonts w:hint="eastAsia" w:ascii="宋体" w:hAnsi="宋体" w:cs="宋体"/>
          <w:b/>
          <w:bCs/>
          <w:szCs w:val="21"/>
        </w:rPr>
        <w:t xml:space="preserve">的最低投标折扣</w:t>
      </w:r>
      <w:r>
        <w:rPr>
          <w:rFonts w:ascii="宋体" w:hAnsi="宋体" w:cs="宋体"/>
          <w:b/>
          <w:bCs/>
          <w:szCs w:val="21"/>
        </w:rPr>
        <w:t xml:space="preserve">作为</w:t>
      </w:r>
      <w:r>
        <w:rPr>
          <w:rFonts w:hint="eastAsia" w:ascii="宋体" w:hAnsi="宋体" w:cs="宋体"/>
          <w:b/>
          <w:bCs/>
          <w:szCs w:val="21"/>
        </w:rPr>
        <w:t xml:space="preserve">评标</w:t>
      </w:r>
      <w:r>
        <w:rPr>
          <w:rFonts w:ascii="宋体" w:hAnsi="宋体" w:cs="宋体"/>
          <w:b/>
          <w:bCs/>
          <w:szCs w:val="21"/>
        </w:rPr>
        <w:t xml:space="preserve">基准</w:t>
      </w:r>
      <w:r>
        <w:rPr>
          <w:rFonts w:hint="eastAsia" w:ascii="宋体" w:hAnsi="宋体" w:cs="宋体"/>
          <w:b/>
          <w:bCs/>
          <w:szCs w:val="21"/>
        </w:rPr>
        <w:t xml:space="preserve">折扣</w:t>
      </w:r>
      <w:r>
        <w:rPr>
          <w:rFonts w:ascii="宋体" w:hAnsi="宋体" w:cs="宋体"/>
          <w:b/>
          <w:bCs/>
          <w:szCs w:val="21"/>
        </w:rPr>
        <w:t xml:space="preserve">，其价格分为满分</w:t>
      </w:r>
      <w:r>
        <w:rPr>
          <w:rFonts w:hint="eastAsia" w:ascii="宋体" w:hAnsi="宋体" w:cs="宋体"/>
          <w:b/>
          <w:bCs/>
          <w:szCs w:val="21"/>
        </w:rPr>
        <w:t xml:space="preserve">10分</w:t>
      </w:r>
      <w:r>
        <w:rPr>
          <w:rFonts w:ascii="宋体" w:hAnsi="宋体" w:cs="宋体"/>
          <w:b/>
          <w:bCs/>
          <w:szCs w:val="21"/>
        </w:rPr>
        <w:t xml:space="preserve">。供应商价格分计算公式：价格得分=【</w:t>
      </w:r>
      <w:r>
        <w:rPr>
          <w:rFonts w:hint="eastAsia" w:ascii="宋体" w:hAnsi="宋体" w:cs="宋体"/>
          <w:b/>
          <w:bCs/>
          <w:szCs w:val="21"/>
        </w:rPr>
        <w:t xml:space="preserve">评标基准折扣</w:t>
      </w:r>
      <w:r>
        <w:rPr>
          <w:rFonts w:ascii="宋体" w:hAnsi="宋体" w:cs="宋体"/>
          <w:b/>
          <w:bCs/>
          <w:szCs w:val="21"/>
        </w:rPr>
        <w:t xml:space="preserve">/</w:t>
      </w:r>
      <w:r>
        <w:rPr>
          <w:rFonts w:hint="eastAsia" w:ascii="宋体" w:hAnsi="宋体" w:cs="宋体"/>
          <w:b/>
          <w:bCs/>
          <w:szCs w:val="21"/>
        </w:rPr>
        <w:t xml:space="preserve">投标折扣</w:t>
      </w:r>
      <w:r>
        <w:rPr>
          <w:rFonts w:ascii="宋体" w:hAnsi="宋体" w:cs="宋体"/>
          <w:b/>
          <w:bCs/>
          <w:szCs w:val="21"/>
        </w:rPr>
        <w:t xml:space="preserve">】×价格权重×100（计算到小数点后二位）</w:t>
      </w:r>
      <w:r/>
    </w:p>
    <w:p>
      <w:pPr>
        <w:ind w:firstLine="420"/>
        <w:spacing w:line="360" w:lineRule="auto"/>
        <w:rPr>
          <w:rFonts w:ascii="宋体" w:hAnsi="宋体"/>
          <w:szCs w:val="21"/>
        </w:rPr>
      </w:pPr>
      <w:r>
        <w:rPr>
          <w:rFonts w:hint="eastAsia" w:ascii="宋体" w:hAnsi="宋体"/>
          <w:szCs w:val="21"/>
        </w:rPr>
        <w:t xml:space="preserve">(二)技术及其它（90分）：</w:t>
      </w:r>
      <w:r/>
    </w:p>
    <w:tbl>
      <w:tblPr>
        <w:tblW w:w="10031" w:type="dxa"/>
        <w:tblInd w:w="-284" w:type="dxa"/>
        <w:tblLayout w:type="fixed"/>
        <w:tblLook w:val="04A0" w:firstRow="1" w:lastRow="0" w:firstColumn="1" w:lastColumn="0" w:noHBand="0" w:noVBand="1"/>
      </w:tblPr>
      <w:tblGrid>
        <w:gridCol w:w="1243"/>
        <w:gridCol w:w="1984"/>
        <w:gridCol w:w="6096"/>
        <w:gridCol w:w="708"/>
      </w:tblGrid>
      <w:tr>
        <w:trPr>
          <w:trHeight w:val="70"/>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spacing w:line="360" w:lineRule="auto"/>
              <w:widowControl/>
              <w:rPr>
                <w:rFonts w:ascii="宋体" w:hAnsi="宋体" w:cs="宋体"/>
                <w:b/>
                <w:szCs w:val="21"/>
              </w:rPr>
            </w:pPr>
            <w:r/>
            <w:bookmarkStart w:id="100" w:name="gpc_score_horizontal_2"/>
            <w:r/>
            <w:bookmarkStart w:id="101" w:name="gpc_score_horizontal_1"/>
            <w:r/>
            <w:bookmarkStart w:id="102" w:name="gpc_score_horizontal_4"/>
            <w:r/>
            <w:bookmarkStart w:id="103" w:name="gpc_score_horizontal_3"/>
            <w:r/>
            <w:bookmarkStart w:id="104" w:name="gpc_score_horizontal_5"/>
            <w:r/>
            <w:bookmarkStart w:id="105" w:name="gpc_score_horizontal_6"/>
            <w:r>
              <w:rPr>
                <w:rFonts w:hint="eastAsia" w:ascii="宋体" w:hAnsi="宋体" w:cs="宋体"/>
                <w:b/>
                <w:szCs w:val="21"/>
              </w:rPr>
              <w:t xml:space="preserve">评审类别</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spacing w:line="360" w:lineRule="auto"/>
              <w:widowControl/>
              <w:rPr>
                <w:rFonts w:ascii="宋体" w:hAnsi="宋体" w:cs="宋体"/>
                <w:b/>
                <w:szCs w:val="21"/>
              </w:rPr>
            </w:pPr>
            <w:r>
              <w:rPr>
                <w:rFonts w:hint="eastAsia" w:ascii="宋体" w:hAnsi="宋体" w:cs="宋体"/>
                <w:b/>
                <w:szCs w:val="21"/>
              </w:rPr>
              <w:t xml:space="preserve">评审项</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spacing w:line="360" w:lineRule="auto"/>
              <w:widowControl/>
              <w:rPr>
                <w:rFonts w:ascii="宋体" w:hAnsi="宋体" w:cs="宋体"/>
                <w:b/>
                <w:szCs w:val="21"/>
              </w:rPr>
            </w:pPr>
            <w:r>
              <w:rPr>
                <w:rFonts w:hint="eastAsia" w:ascii="宋体" w:hAnsi="宋体" w:cs="宋体"/>
                <w:b/>
                <w:szCs w:val="21"/>
              </w:rPr>
              <w:t xml:space="preserve">评审规则</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spacing w:line="360" w:lineRule="auto"/>
              <w:widowControl/>
              <w:rPr>
                <w:rFonts w:ascii="宋体" w:hAnsi="宋体" w:cs="宋体"/>
                <w:b/>
                <w:szCs w:val="21"/>
              </w:rPr>
            </w:pPr>
            <w:r>
              <w:rPr>
                <w:rFonts w:hint="eastAsia" w:ascii="宋体" w:hAnsi="宋体" w:cs="宋体"/>
                <w:b/>
                <w:szCs w:val="21"/>
              </w:rPr>
              <w:t xml:space="preserve">分值</w:t>
            </w:r>
            <w:r/>
          </w:p>
        </w:tc>
      </w:tr>
      <w:tr>
        <w:trPr>
          <w:trHeight w:val="906"/>
        </w:trPr>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jc w:val="center"/>
              <w:spacing w:line="360" w:lineRule="auto"/>
              <w:widowControl/>
              <w:rPr>
                <w:rFonts w:ascii="宋体" w:hAnsi="宋体"/>
                <w:b/>
                <w:szCs w:val="21"/>
              </w:rPr>
            </w:pPr>
            <w:r>
              <w:rPr>
                <w:rFonts w:hint="eastAsia" w:ascii="宋体" w:hAnsi="宋体"/>
                <w:b/>
                <w:szCs w:val="21"/>
              </w:rPr>
              <w:t xml:space="preserve">价格分（10分）</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widowControl/>
              <w:rPr>
                <w:rFonts w:ascii="宋体" w:hAnsi="宋体"/>
                <w:b/>
                <w:szCs w:val="21"/>
              </w:rPr>
            </w:pPr>
            <w:r>
              <w:rPr>
                <w:rFonts w:hint="eastAsia" w:ascii="宋体" w:hAnsi="宋体"/>
                <w:b/>
                <w:szCs w:val="21"/>
              </w:rPr>
              <w:t xml:space="preserve">价格评审指标（10分）</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r>
              <w:rPr>
                <w:rFonts w:hint="eastAsia" w:ascii="宋体" w:hAnsi="宋体"/>
                <w:szCs w:val="21"/>
              </w:rPr>
              <w:t xml:space="preserve">价格得分=（评标基准折扣/投标折扣）×价格权重×100%（计算到小数点后二位）；</w:t>
            </w:r>
            <w:r>
              <w:rPr>
                <w:rFonts w:hint="eastAsia" w:ascii="宋体" w:hAnsi="宋体"/>
              </w:rPr>
              <w:t xml:space="preserve">超预算的投标报价不进入评标程序</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10</w:t>
            </w:r>
            <w:r/>
          </w:p>
        </w:tc>
      </w:tr>
      <w:tr>
        <w:trPr>
          <w:trHeight w:val="888"/>
        </w:trPr>
        <w:tc>
          <w:tcPr>
            <w:tcBorders>
              <w:left w:val="single" w:color="auto" w:sz="4" w:space="0"/>
              <w:right w:val="single" w:color="auto" w:sz="4" w:space="0"/>
            </w:tcBorders>
            <w:tcW w:w="1243" w:type="dxa"/>
            <w:vAlign w:val="center"/>
            <w:vMerge w:val="restart"/>
            <w:textDirection w:val="lrTb"/>
            <w:noWrap w:val="false"/>
          </w:tcPr>
          <w:p>
            <w:pPr>
              <w:spacing w:line="360" w:lineRule="auto"/>
              <w:rPr>
                <w:rFonts w:ascii="宋体" w:hAnsi="宋体" w:cs="宋体"/>
                <w:b/>
                <w:szCs w:val="21"/>
                <w:u w:val="single"/>
              </w:rPr>
              <w:outlineLvl w:val="0"/>
            </w:pPr>
            <w:r>
              <w:rPr>
                <w:rFonts w:hint="eastAsia" w:ascii="宋体" w:hAnsi="宋体" w:cs="宋体"/>
                <w:b/>
                <w:szCs w:val="21"/>
              </w:rPr>
              <w:t xml:space="preserve">技术部分（90分）</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sz w:val="24"/>
              </w:rPr>
            </w:pPr>
            <w:r>
              <w:rPr>
                <w:rFonts w:hint="eastAsia" w:ascii="宋体" w:hAnsi="宋体"/>
                <w:szCs w:val="21"/>
              </w:rPr>
              <w:t xml:space="preserve">项目整体了解与分析</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r>
              <w:rPr>
                <w:rFonts w:hint="eastAsia"/>
              </w:rPr>
              <w:t xml:space="preserve">供应商提供针对本项目的了解与分析，至少包括以下内容：</w:t>
            </w:r>
            <w:r/>
          </w:p>
          <w:p>
            <w:pPr>
              <w:rPr>
                <w:rFonts w:ascii="宋体"/>
                <w:szCs w:val="20"/>
              </w:rPr>
            </w:pPr>
            <w:r>
              <w:rPr>
                <w:rFonts w:hint="eastAsia" w:ascii="宋体"/>
                <w:szCs w:val="20"/>
              </w:rPr>
              <w:t xml:space="preserve">1、对所投区域涉及的交通标志分布情况的了解和分析；</w:t>
            </w:r>
            <w:r/>
          </w:p>
          <w:p>
            <w:r>
              <w:rPr>
                <w:rFonts w:hint="eastAsia"/>
              </w:rPr>
              <w:t xml:space="preserve">2</w:t>
            </w:r>
            <w:r>
              <w:rPr>
                <w:rFonts w:hint="eastAsia"/>
              </w:rPr>
              <w:t xml:space="preserve">、</w:t>
            </w:r>
            <w:r>
              <w:t xml:space="preserve">对所投</w:t>
            </w:r>
            <w:r>
              <w:rPr>
                <w:rFonts w:hint="eastAsia" w:ascii="Calibri"/>
              </w:rPr>
              <w:t xml:space="preserve">区域</w:t>
            </w:r>
            <w:r>
              <w:t xml:space="preserve">涉及的道路名称及长度分布情况的了解</w:t>
            </w:r>
            <w:r>
              <w:rPr>
                <w:rFonts w:hint="eastAsia"/>
              </w:rPr>
              <w:t xml:space="preserve">和分析</w:t>
            </w:r>
            <w:r>
              <w:t xml:space="preserve">；</w:t>
            </w:r>
            <w:r/>
          </w:p>
          <w:p>
            <w:pPr>
              <w:rPr>
                <w:rFonts w:ascii="宋体"/>
                <w:szCs w:val="20"/>
              </w:rPr>
            </w:pPr>
            <w:r>
              <w:rPr>
                <w:rFonts w:hint="eastAsia" w:ascii="宋体"/>
                <w:szCs w:val="20"/>
              </w:rPr>
              <w:t xml:space="preserve">3、对所投</w:t>
            </w:r>
            <w:r>
              <w:rPr>
                <w:rFonts w:hint="eastAsia" w:ascii="Calibri"/>
                <w:szCs w:val="20"/>
              </w:rPr>
              <w:t xml:space="preserve">区域</w:t>
            </w:r>
            <w:r>
              <w:rPr>
                <w:rFonts w:hint="eastAsia" w:ascii="宋体"/>
                <w:szCs w:val="20"/>
              </w:rPr>
              <w:t xml:space="preserve">涉及的车道分布交通标线分布情况的了解和分析。</w:t>
            </w:r>
            <w:r/>
          </w:p>
          <w:p>
            <w:r>
              <w:rPr>
                <w:rFonts w:hint="eastAsia" w:ascii="宋体" w:hAnsi="宋体" w:cs="宋体"/>
                <w:szCs w:val="21"/>
              </w:rPr>
              <w:t xml:space="preserve">上述每项内容与用户需求贴合度高、符合采购需求的，每项得4分，</w:t>
            </w:r>
            <w:r>
              <w:rPr>
                <w:rFonts w:ascii="宋体" w:hAnsi="宋体" w:cs="宋体"/>
                <w:szCs w:val="21"/>
              </w:rPr>
              <w:t xml:space="preserve">本项最高</w:t>
            </w:r>
            <w:r>
              <w:rPr>
                <w:rFonts w:hint="eastAsia" w:ascii="宋体" w:hAnsi="宋体" w:cs="宋体"/>
                <w:szCs w:val="21"/>
              </w:rPr>
              <w:t xml:space="preserve">得12</w:t>
            </w:r>
            <w:r>
              <w:rPr>
                <w:rFonts w:ascii="宋体" w:hAnsi="宋体" w:cs="宋体"/>
                <w:szCs w:val="21"/>
              </w:rPr>
              <w:t xml:space="preserve">分</w:t>
            </w:r>
            <w:r>
              <w:rPr>
                <w:rFonts w:hint="eastAsia" w:ascii="宋体" w:hAnsi="宋体" w:cs="宋体"/>
                <w:szCs w:val="21"/>
              </w:rPr>
              <w:t xml:space="preserve">；每项叙述内容与采购需求偏差较大或未作完整叙述的，不得分</w:t>
            </w:r>
            <w:r>
              <w:rPr>
                <w:rFonts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2</w:t>
            </w:r>
            <w:r/>
          </w:p>
        </w:tc>
      </w:tr>
      <w:tr>
        <w:trPr>
          <w:trHeight w:val="896"/>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b/>
                <w:szCs w:val="21"/>
                <w:u w:val="single"/>
              </w:rPr>
              <w:outlineLvl w:val="0"/>
            </w:pPr>
            <w:r>
              <w:rPr>
                <w:rFonts w:ascii="宋体" w:hAnsi="宋体" w:cs="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pPr>
            <w:r>
              <w:rPr>
                <w:rFonts w:hint="eastAsia" w:ascii="宋体" w:hAnsi="宋体"/>
                <w:szCs w:val="21"/>
              </w:rPr>
              <w:t xml:space="preserve">服务方案</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rPr>
                <w:rFonts w:ascii="宋体" w:hAnsi="宋体"/>
                <w:szCs w:val="21"/>
              </w:rPr>
            </w:pPr>
            <w:r>
              <w:rPr>
                <w:rFonts w:hint="eastAsia" w:ascii="宋体" w:hAnsi="宋体"/>
                <w:szCs w:val="21"/>
              </w:rPr>
              <w:t xml:space="preserve">供应商提供针对本项目的服务方案，至少包括以下内容：</w:t>
            </w:r>
            <w:r/>
          </w:p>
          <w:p>
            <w:pPr>
              <w:rPr>
                <w:rFonts w:ascii="宋体" w:hAnsi="宋体"/>
                <w:szCs w:val="21"/>
              </w:rPr>
            </w:pPr>
            <w:r>
              <w:rPr>
                <w:rFonts w:hint="eastAsia" w:ascii="宋体" w:hAnsi="宋体"/>
                <w:szCs w:val="21"/>
              </w:rPr>
              <w:t xml:space="preserve">1、定期的维护检查计划与内容；</w:t>
            </w:r>
            <w:r/>
          </w:p>
          <w:p>
            <w:pPr>
              <w:rPr>
                <w:rFonts w:ascii="宋体"/>
                <w:szCs w:val="20"/>
              </w:rPr>
            </w:pPr>
            <w:r>
              <w:rPr>
                <w:rFonts w:hint="eastAsia" w:ascii="宋体" w:hAnsi="宋体"/>
                <w:szCs w:val="21"/>
              </w:rPr>
              <w:t xml:space="preserve">2、维护日志与记录；</w:t>
            </w:r>
            <w:r/>
          </w:p>
          <w:p>
            <w:pPr>
              <w:rPr>
                <w:rFonts w:ascii="宋体" w:hAnsi="宋体"/>
                <w:szCs w:val="21"/>
              </w:rPr>
            </w:pPr>
            <w:r>
              <w:rPr>
                <w:rFonts w:hint="eastAsia" w:ascii="宋体" w:hAnsi="宋体"/>
                <w:szCs w:val="21"/>
              </w:rPr>
              <w:t xml:space="preserve">3、施工组织计划方案；</w:t>
            </w:r>
            <w:r/>
          </w:p>
          <w:p>
            <w:pPr>
              <w:rPr>
                <w:rFonts w:ascii="宋体"/>
                <w:szCs w:val="20"/>
              </w:rPr>
            </w:pPr>
            <w:r>
              <w:rPr>
                <w:rFonts w:hint="eastAsia" w:ascii="宋体"/>
                <w:szCs w:val="20"/>
              </w:rPr>
              <w:t xml:space="preserve">4、人员培训方案；</w:t>
            </w:r>
            <w:r/>
          </w:p>
          <w:p>
            <w:pPr>
              <w:rPr>
                <w:rFonts w:ascii="宋体"/>
                <w:szCs w:val="20"/>
              </w:rPr>
            </w:pPr>
            <w:r>
              <w:rPr>
                <w:rFonts w:hint="eastAsia" w:ascii="宋体"/>
                <w:szCs w:val="20"/>
              </w:rPr>
              <w:t xml:space="preserve">5、响应时间及方案。</w:t>
            </w:r>
            <w:r/>
          </w:p>
          <w:p>
            <w:r>
              <w:rPr>
                <w:rFonts w:hint="eastAsia" w:ascii="宋体" w:hAnsi="宋体" w:cs="宋体"/>
                <w:szCs w:val="21"/>
              </w:rPr>
              <w:t xml:space="preserve">上述每项内容与用户需求贴合度高、符合采购需求的，每项得2分，</w:t>
            </w:r>
            <w:r>
              <w:rPr>
                <w:rFonts w:ascii="宋体" w:hAnsi="宋体" w:cs="宋体"/>
                <w:szCs w:val="21"/>
              </w:rPr>
              <w:t xml:space="preserve">本项最高</w:t>
            </w:r>
            <w:r>
              <w:rPr>
                <w:rFonts w:hint="eastAsia" w:ascii="宋体" w:hAnsi="宋体" w:cs="宋体"/>
                <w:szCs w:val="21"/>
              </w:rPr>
              <w:t xml:space="preserve">得10</w:t>
            </w:r>
            <w:r>
              <w:rPr>
                <w:rFonts w:ascii="宋体" w:hAnsi="宋体" w:cs="宋体"/>
                <w:szCs w:val="21"/>
              </w:rPr>
              <w:t xml:space="preserve">分</w:t>
            </w:r>
            <w:r>
              <w:rPr>
                <w:rFonts w:hint="eastAsia" w:ascii="宋体" w:hAnsi="宋体" w:cs="宋体"/>
                <w:szCs w:val="21"/>
              </w:rPr>
              <w:t xml:space="preserve">；每项叙述内容与采购需求偏差较大或未作完整叙述的，不得分</w:t>
            </w:r>
            <w:r>
              <w:rPr>
                <w:rFonts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10</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pPr>
            <w:r>
              <w:rPr>
                <w:rFonts w:hint="eastAsia" w:ascii="宋体" w:hAnsi="宋体"/>
                <w:szCs w:val="21"/>
              </w:rPr>
              <w:t xml:space="preserve">工作组织安排情况</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rPr>
                <w:rFonts w:ascii="宋体" w:hAnsi="宋体"/>
                <w:bCs/>
                <w:szCs w:val="21"/>
              </w:rPr>
            </w:pPr>
            <w:r>
              <w:rPr>
                <w:rFonts w:hint="eastAsia" w:ascii="宋体" w:hAnsi="宋体"/>
                <w:bCs/>
                <w:szCs w:val="21"/>
              </w:rPr>
              <w:t xml:space="preserve">1、有工作组织安排情况的</w:t>
            </w:r>
            <w:r>
              <w:rPr>
                <w:rFonts w:hint="eastAsia" w:ascii="宋体" w:hAnsi="宋体"/>
                <w:szCs w:val="21"/>
              </w:rPr>
              <w:t xml:space="preserve">，得</w:t>
            </w:r>
            <w:r>
              <w:rPr>
                <w:rFonts w:hint="eastAsia" w:ascii="宋体" w:hAnsi="宋体"/>
                <w:bCs/>
                <w:szCs w:val="21"/>
              </w:rPr>
              <w:t xml:space="preserve">3分；</w:t>
            </w:r>
            <w:r/>
          </w:p>
          <w:p>
            <w:pPr>
              <w:rPr>
                <w:rFonts w:ascii="宋体" w:hAnsi="宋体"/>
                <w:szCs w:val="21"/>
              </w:rPr>
            </w:pPr>
            <w:r>
              <w:rPr>
                <w:rFonts w:hint="eastAsia" w:ascii="宋体" w:hAnsi="宋体"/>
                <w:bCs/>
                <w:szCs w:val="21"/>
              </w:rPr>
              <w:t xml:space="preserve">2、工作组织安排情况</w:t>
            </w:r>
            <w:r>
              <w:rPr>
                <w:rFonts w:hint="eastAsia" w:ascii="宋体" w:hAnsi="宋体"/>
                <w:szCs w:val="21"/>
              </w:rPr>
              <w:t xml:space="preserve">符合本项目的，得3分；</w:t>
            </w:r>
            <w:r/>
          </w:p>
          <w:p>
            <w:pPr>
              <w:rPr>
                <w:rFonts w:ascii="宋体" w:hAnsi="宋体"/>
                <w:szCs w:val="21"/>
              </w:rPr>
            </w:pPr>
            <w:r>
              <w:rPr>
                <w:rFonts w:hint="eastAsia" w:ascii="宋体" w:hAnsi="宋体"/>
                <w:szCs w:val="21"/>
              </w:rPr>
              <w:t xml:space="preserve">3、工作组织安排情况</w:t>
            </w:r>
            <w:r>
              <w:rPr>
                <w:rFonts w:hint="eastAsia"/>
              </w:rPr>
              <w:t xml:space="preserve">表述条理清晰的，</w:t>
            </w:r>
            <w:r>
              <w:rPr>
                <w:rFonts w:hint="eastAsia" w:ascii="宋体" w:hAnsi="宋体"/>
                <w:szCs w:val="21"/>
              </w:rPr>
              <w:t xml:space="preserve">得3分。</w:t>
            </w:r>
            <w:r/>
          </w:p>
          <w:p>
            <w:pPr>
              <w:rPr>
                <w:rFonts w:ascii="宋体"/>
                <w:szCs w:val="20"/>
              </w:rPr>
            </w:pPr>
            <w:r>
              <w:rPr>
                <w:rFonts w:hint="eastAsia" w:ascii="宋体" w:hAnsi="宋体"/>
                <w:b/>
                <w:bCs/>
                <w:szCs w:val="21"/>
              </w:rPr>
              <w:t xml:space="preserve">未提供的本项不得分。</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9</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rFonts w:ascii="宋体" w:hAnsi="宋体"/>
              </w:rPr>
            </w:pPr>
            <w:r>
              <w:rPr>
                <w:rFonts w:hint="eastAsia"/>
              </w:rPr>
              <w:t xml:space="preserve">保障措施</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供应商提供针对所本项目的保障措施，至少包括：</w:t>
            </w:r>
            <w:r/>
          </w:p>
          <w:p>
            <w:pPr>
              <w:jc w:val="left"/>
              <w:rPr>
                <w:rFonts w:ascii="宋体" w:hAnsi="宋体" w:cs="宋体"/>
                <w:color w:val="000000"/>
                <w:szCs w:val="21"/>
              </w:rPr>
            </w:pPr>
            <w:r>
              <w:rPr>
                <w:rFonts w:hint="eastAsia" w:ascii="宋体" w:hAnsi="宋体" w:cs="宋体"/>
                <w:color w:val="000000"/>
                <w:szCs w:val="21"/>
              </w:rPr>
              <w:t xml:space="preserve">1、安全文明措施；</w:t>
            </w:r>
            <w:r/>
          </w:p>
          <w:p>
            <w:pPr>
              <w:jc w:val="left"/>
              <w:rPr>
                <w:rFonts w:ascii="宋体" w:hAnsi="宋体" w:cs="宋体"/>
                <w:color w:val="000000"/>
                <w:szCs w:val="21"/>
              </w:rPr>
            </w:pPr>
            <w:r>
              <w:rPr>
                <w:rFonts w:hint="eastAsia" w:ascii="宋体" w:hAnsi="宋体" w:cs="宋体"/>
                <w:color w:val="000000"/>
                <w:szCs w:val="21"/>
              </w:rPr>
              <w:t xml:space="preserve">2、质量控制措施；</w:t>
            </w:r>
            <w:r/>
          </w:p>
          <w:p>
            <w:r>
              <w:rPr>
                <w:rFonts w:hint="eastAsia"/>
              </w:rPr>
              <w:t xml:space="preserve">3</w:t>
            </w:r>
            <w:r>
              <w:rPr>
                <w:rFonts w:hint="eastAsia"/>
              </w:rPr>
              <w:t xml:space="preserve">、进度控制措施。</w:t>
            </w:r>
            <w:r/>
          </w:p>
          <w:p>
            <w:r>
              <w:rPr>
                <w:rFonts w:hint="eastAsia" w:ascii="宋体" w:hAnsi="宋体" w:cs="宋体"/>
                <w:szCs w:val="21"/>
              </w:rPr>
              <w:t xml:space="preserve">上述每项内容与用户需求贴合度高、符合采购需求的，每项得3分，</w:t>
            </w:r>
            <w:r>
              <w:rPr>
                <w:rFonts w:ascii="宋体" w:hAnsi="宋体" w:cs="宋体"/>
                <w:szCs w:val="21"/>
              </w:rPr>
              <w:t xml:space="preserve">本项最高</w:t>
            </w:r>
            <w:r>
              <w:rPr>
                <w:rFonts w:hint="eastAsia" w:ascii="宋体" w:hAnsi="宋体" w:cs="宋体"/>
                <w:szCs w:val="21"/>
              </w:rPr>
              <w:t xml:space="preserve">得9</w:t>
            </w:r>
            <w:r>
              <w:rPr>
                <w:rFonts w:ascii="宋体" w:hAnsi="宋体" w:cs="宋体"/>
                <w:szCs w:val="21"/>
              </w:rPr>
              <w:t xml:space="preserve">分</w:t>
            </w:r>
            <w:r>
              <w:rPr>
                <w:rFonts w:hint="eastAsia" w:ascii="宋体" w:hAnsi="宋体" w:cs="宋体"/>
                <w:szCs w:val="21"/>
              </w:rPr>
              <w:t xml:space="preserve">；每项叙述内容与采购需求偏差较大或未作完整叙述的，不得分</w:t>
            </w:r>
            <w:r>
              <w:rPr>
                <w:rFonts w:ascii="宋体" w:hAnsi="宋体" w:cs="宋体"/>
                <w:szCs w:val="21"/>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9</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rPr>
            </w:pPr>
            <w:r>
              <w:rPr>
                <w:rFonts w:hint="eastAsia" w:ascii="宋体" w:hAnsi="宋体"/>
                <w:szCs w:val="21"/>
              </w:rPr>
              <w:t xml:space="preserve">应急预案</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left"/>
              <w:rPr>
                <w:rFonts w:ascii="宋体" w:hAnsi="宋体" w:cs="宋体"/>
                <w:color w:val="000000"/>
                <w:szCs w:val="21"/>
              </w:rPr>
            </w:pPr>
            <w:r>
              <w:rPr>
                <w:rFonts w:hint="eastAsia" w:ascii="宋体" w:hAnsi="宋体"/>
                <w:bCs/>
                <w:color w:val="000000"/>
                <w:szCs w:val="21"/>
              </w:rPr>
              <w:t xml:space="preserve">供应商提供针对本项目的</w:t>
            </w:r>
            <w:r>
              <w:rPr>
                <w:rFonts w:hint="eastAsia" w:ascii="宋体" w:hAnsi="宋体" w:cs="宋体"/>
                <w:color w:val="000000"/>
                <w:szCs w:val="21"/>
              </w:rPr>
              <w:t xml:space="preserve">应急预案：</w:t>
            </w:r>
            <w:r/>
          </w:p>
          <w:p>
            <w:pPr>
              <w:jc w:val="left"/>
              <w:rPr>
                <w:rFonts w:ascii="宋体" w:hAnsi="宋体" w:cs="宋体"/>
                <w:color w:val="000000"/>
                <w:szCs w:val="21"/>
                <w:lang w:val="zh-CN"/>
              </w:rPr>
            </w:pPr>
            <w:r>
              <w:rPr>
                <w:rFonts w:hint="eastAsia" w:ascii="宋体" w:hAnsi="宋体" w:cs="宋体"/>
                <w:color w:val="000000"/>
                <w:szCs w:val="21"/>
                <w:lang w:val="zh-CN"/>
              </w:rPr>
              <w:t xml:space="preserve">1、重大活动保障应急预案；</w:t>
            </w:r>
            <w:r/>
          </w:p>
          <w:p>
            <w:pPr>
              <w:jc w:val="left"/>
              <w:rPr>
                <w:rFonts w:ascii="宋体" w:hAnsi="宋体" w:cs="宋体"/>
                <w:color w:val="000000"/>
                <w:szCs w:val="21"/>
                <w:lang w:val="zh-CN"/>
              </w:rPr>
            </w:pPr>
            <w:r>
              <w:rPr>
                <w:rFonts w:hint="eastAsia" w:ascii="宋体" w:hAnsi="宋体" w:cs="宋体"/>
                <w:color w:val="000000"/>
                <w:szCs w:val="21"/>
                <w:lang w:val="zh-CN"/>
              </w:rPr>
              <w:t xml:space="preserve">2、特殊天气应急预案；</w:t>
            </w:r>
            <w:r/>
          </w:p>
          <w:p>
            <w:pPr>
              <w:jc w:val="left"/>
              <w:rPr>
                <w:rFonts w:ascii="宋体" w:hAnsi="宋体" w:cs="宋体"/>
                <w:color w:val="000000"/>
                <w:szCs w:val="21"/>
                <w:lang w:val="zh-CN"/>
              </w:rPr>
            </w:pPr>
            <w:r>
              <w:rPr>
                <w:rFonts w:hint="eastAsia" w:ascii="宋体" w:hAnsi="宋体" w:cs="宋体"/>
                <w:color w:val="000000"/>
                <w:szCs w:val="21"/>
                <w:lang w:val="zh-CN"/>
              </w:rPr>
              <w:t xml:space="preserve">3、其他特殊情况应急预案。</w:t>
            </w:r>
            <w:r/>
          </w:p>
          <w:p>
            <w:pPr>
              <w:rPr>
                <w:bCs/>
                <w:szCs w:val="21"/>
              </w:rPr>
            </w:pPr>
            <w:r>
              <w:rPr>
                <w:rFonts w:hint="eastAsia" w:ascii="宋体" w:hAnsi="宋体" w:cs="宋体"/>
                <w:szCs w:val="21"/>
              </w:rPr>
              <w:t xml:space="preserve">上述每项内容与用户需求贴合度高、符合采购需求的，每项得2</w:t>
            </w:r>
            <w:r>
              <w:rPr>
                <w:rFonts w:hint="eastAsia" w:ascii="宋体" w:hAnsi="宋体" w:cs="宋体"/>
                <w:szCs w:val="21"/>
              </w:rPr>
              <w:t xml:space="preserve">分，</w:t>
            </w:r>
            <w:r>
              <w:rPr>
                <w:rFonts w:ascii="宋体" w:hAnsi="宋体" w:cs="宋体"/>
                <w:szCs w:val="21"/>
              </w:rPr>
              <w:t xml:space="preserve">本项最高</w:t>
            </w:r>
            <w:r>
              <w:rPr>
                <w:rFonts w:hint="eastAsia" w:ascii="宋体" w:hAnsi="宋体" w:cs="宋体"/>
                <w:szCs w:val="21"/>
              </w:rPr>
              <w:t xml:space="preserve">得6</w:t>
            </w:r>
            <w:r>
              <w:rPr>
                <w:rFonts w:ascii="宋体" w:hAnsi="宋体" w:cs="宋体"/>
                <w:szCs w:val="21"/>
              </w:rPr>
              <w:t xml:space="preserve">分</w:t>
            </w:r>
            <w:r>
              <w:rPr>
                <w:rFonts w:hint="eastAsia" w:ascii="宋体" w:hAnsi="宋体" w:cs="宋体"/>
                <w:szCs w:val="21"/>
              </w:rPr>
              <w:t xml:space="preserve">；每项叙述内容与采购需求偏差较大或未作完整叙述的，不得分</w:t>
            </w:r>
            <w:r>
              <w:rPr>
                <w:rFonts w:hint="eastAsia" w:ascii="宋体" w:hAnsi="宋体" w:cs="宋体"/>
                <w:color w:val="000000"/>
                <w:szCs w:val="21"/>
                <w:lang w:val="zh-CN"/>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ascii="宋体" w:hAnsi="宋体"/>
                <w:szCs w:val="21"/>
              </w:rPr>
              <w:t xml:space="preserve">6</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hint="eastAsia" w:ascii="宋体" w:hAnsi="宋体"/>
                <w:szCs w:val="21"/>
              </w:rPr>
              <w:t xml:space="preserve">▲</w:t>
            </w:r>
            <w:r>
              <w:rPr>
                <w:rFonts w:hint="eastAsia"/>
              </w:rPr>
              <w:t xml:space="preserve">企业资质</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left"/>
              <w:rPr>
                <w:rFonts w:ascii="宋体" w:hAnsi="宋体" w:cs="宋体"/>
                <w:color w:val="000000"/>
                <w:szCs w:val="21"/>
                <w:lang w:val="zh-CN"/>
              </w:rPr>
            </w:pPr>
            <w:r>
              <w:rPr>
                <w:rFonts w:hint="eastAsia" w:ascii="宋体" w:hAnsi="宋体" w:cs="宋体"/>
                <w:color w:val="000000"/>
                <w:szCs w:val="21"/>
                <w:lang w:val="zh-CN"/>
              </w:rPr>
              <w:t xml:space="preserve">1、供应商具有公路交通工程专业承包</w:t>
            </w:r>
            <w:r>
              <w:rPr>
                <w:rFonts w:hint="eastAsia" w:ascii="宋体" w:hAnsi="宋体" w:cs="宋体"/>
                <w:color w:val="000000"/>
                <w:szCs w:val="21"/>
              </w:rPr>
              <w:t xml:space="preserve">二级及以上</w:t>
            </w:r>
            <w:r>
              <w:rPr>
                <w:rFonts w:hint="eastAsia" w:ascii="宋体" w:hAnsi="宋体" w:cs="宋体"/>
                <w:color w:val="000000"/>
                <w:szCs w:val="21"/>
                <w:lang w:val="zh-CN"/>
              </w:rPr>
              <w:t xml:space="preserve">资质的，得</w:t>
            </w:r>
            <w:r>
              <w:rPr>
                <w:rFonts w:hint="eastAsia" w:ascii="宋体" w:hAnsi="宋体" w:cs="宋体"/>
                <w:color w:val="000000"/>
                <w:szCs w:val="21"/>
              </w:rPr>
              <w:t xml:space="preserve">3</w:t>
            </w:r>
            <w:r>
              <w:rPr>
                <w:rFonts w:hint="eastAsia" w:ascii="宋体" w:hAnsi="宋体" w:cs="宋体"/>
                <w:color w:val="000000"/>
                <w:szCs w:val="21"/>
                <w:lang w:val="zh-CN"/>
              </w:rPr>
              <w:t xml:space="preserve">分；</w:t>
            </w:r>
            <w:r/>
          </w:p>
          <w:p>
            <w:pPr>
              <w:jc w:val="left"/>
              <w:rPr>
                <w:rFonts w:ascii="宋体" w:hAnsi="宋体" w:cs="宋体"/>
                <w:color w:val="000000"/>
                <w:szCs w:val="21"/>
                <w:lang w:val="zh-CN"/>
              </w:rPr>
            </w:pPr>
            <w:r>
              <w:rPr>
                <w:rFonts w:hint="eastAsia" w:ascii="宋体" w:hAnsi="宋体" w:cs="宋体"/>
                <w:color w:val="000000"/>
                <w:szCs w:val="21"/>
                <w:lang w:val="zh-CN"/>
              </w:rPr>
              <w:t xml:space="preserve">2、供应商具备安全生产许可证的，得</w:t>
            </w:r>
            <w:r>
              <w:rPr>
                <w:rFonts w:hint="eastAsia" w:ascii="宋体" w:hAnsi="宋体" w:cs="宋体"/>
                <w:color w:val="000000"/>
                <w:szCs w:val="21"/>
              </w:rPr>
              <w:t xml:space="preserve">3</w:t>
            </w:r>
            <w:r>
              <w:rPr>
                <w:rFonts w:hint="eastAsia" w:ascii="宋体" w:hAnsi="宋体" w:cs="宋体"/>
                <w:color w:val="000000"/>
                <w:szCs w:val="21"/>
                <w:lang w:val="zh-CN"/>
              </w:rPr>
              <w:t xml:space="preserve">分；</w:t>
            </w:r>
            <w:r/>
          </w:p>
          <w:p>
            <w:pPr>
              <w:jc w:val="left"/>
              <w:rPr>
                <w:rFonts w:ascii="宋体" w:hAnsi="宋体"/>
                <w:b/>
                <w:sz w:val="24"/>
              </w:rPr>
            </w:pPr>
            <w:r>
              <w:rPr>
                <w:rFonts w:hint="eastAsia" w:ascii="宋体" w:hAnsi="宋体" w:cs="宋体"/>
                <w:b/>
                <w:color w:val="000000"/>
                <w:szCs w:val="21"/>
                <w:lang w:val="zh-CN"/>
              </w:rPr>
              <w:t xml:space="preserve">本项最高得</w:t>
            </w:r>
            <w:r>
              <w:rPr>
                <w:rFonts w:hint="eastAsia" w:ascii="宋体" w:hAnsi="宋体" w:cs="宋体"/>
                <w:b/>
                <w:color w:val="000000"/>
                <w:szCs w:val="21"/>
              </w:rPr>
              <w:t xml:space="preserve">6</w:t>
            </w:r>
            <w:r>
              <w:rPr>
                <w:rFonts w:hint="eastAsia" w:ascii="宋体" w:hAnsi="宋体" w:cs="宋体"/>
                <w:b/>
                <w:color w:val="000000"/>
                <w:szCs w:val="21"/>
                <w:lang w:val="zh-CN"/>
              </w:rPr>
              <w:t xml:space="preserve">分。须提供在有效认证期内的证书扫描件，否则不得分。</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hint="eastAsia" w:ascii="宋体" w:hAnsi="宋体"/>
                <w:szCs w:val="21"/>
              </w:rPr>
              <w:t xml:space="preserve">▲</w:t>
            </w:r>
            <w:r>
              <w:rPr>
                <w:rFonts w:hint="eastAsia"/>
              </w:rPr>
              <w:t xml:space="preserve">检测报告</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jc w:val="lef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提供热熔标线、冷喷标线</w:t>
            </w:r>
            <w:r>
              <w:rPr>
                <w:rFonts w:hint="eastAsia" w:ascii="宋体" w:hAnsi="宋体" w:cs="宋体"/>
                <w:color w:val="000000"/>
                <w:szCs w:val="21"/>
              </w:rPr>
              <w:t xml:space="preserve">、</w:t>
            </w:r>
            <w:r>
              <w:rPr>
                <w:rFonts w:hint="eastAsia" w:ascii="宋体" w:hAnsi="宋体" w:cs="宋体"/>
                <w:color w:val="000000"/>
                <w:szCs w:val="21"/>
                <w:lang w:val="zh-CN"/>
              </w:rPr>
              <w:t xml:space="preserve">反光膜、</w:t>
            </w:r>
            <w:r>
              <w:rPr>
                <w:rFonts w:hint="eastAsia" w:ascii="宋体" w:hAnsi="宋体" w:cs="宋体"/>
                <w:color w:val="000000"/>
                <w:szCs w:val="21"/>
              </w:rPr>
              <w:t xml:space="preserve">满屏信号灯的检测报告，每有一份得1分。</w:t>
            </w:r>
            <w:r/>
          </w:p>
          <w:p>
            <w:pPr>
              <w:rPr>
                <w:rFonts w:ascii="宋体" w:hAnsi="宋体"/>
                <w:b/>
                <w:sz w:val="24"/>
                <w:szCs w:val="20"/>
              </w:rPr>
            </w:pPr>
            <w:r>
              <w:rPr>
                <w:rFonts w:hint="eastAsia" w:ascii="宋体"/>
                <w:b/>
                <w:szCs w:val="20"/>
              </w:rPr>
              <w:t xml:space="preserve">本项最高得4分。检测报告须由具有检测资质的检测机构出具，提供有效检测报告扫描件，否则不得分。</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4</w:t>
            </w:r>
            <w:r/>
          </w:p>
        </w:tc>
      </w:tr>
      <w:tr>
        <w:trPr>
          <w:trHeight w:val="596"/>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szCs w:val="21"/>
              </w:rPr>
            </w:pPr>
            <w:r>
              <w:rPr>
                <w:rFonts w:hint="eastAsia" w:ascii="宋体" w:hAnsi="宋体"/>
                <w:szCs w:val="21"/>
              </w:rPr>
              <w:t xml:space="preserve">▲</w:t>
            </w:r>
            <w:r>
              <w:rPr>
                <w:rFonts w:hint="eastAsia" w:ascii="宋体" w:hAnsi="宋体"/>
                <w:color w:val="000000"/>
                <w:szCs w:val="21"/>
              </w:rPr>
              <w:t xml:space="preserve">人员配备</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rPr>
                <w:rFonts w:ascii="宋体" w:hAnsi="宋体" w:cs="宋体"/>
                <w:b/>
                <w:bCs/>
                <w:szCs w:val="21"/>
              </w:rPr>
            </w:pPr>
            <w:r>
              <w:rPr>
                <w:rFonts w:hint="eastAsia" w:ascii="宋体" w:hAnsi="宋体" w:cs="宋体"/>
                <w:b/>
                <w:bCs/>
                <w:szCs w:val="21"/>
              </w:rPr>
              <w:t xml:space="preserve">拟投入的项目</w:t>
            </w:r>
            <w:r>
              <w:rPr>
                <w:rFonts w:hint="eastAsia" w:ascii="宋体" w:hAnsi="宋体" w:cs="宋体"/>
                <w:b/>
                <w:bCs/>
                <w:szCs w:val="21"/>
              </w:rPr>
              <w:t xml:space="preserve">负责人</w:t>
            </w:r>
            <w:r>
              <w:rPr>
                <w:rFonts w:hint="eastAsia" w:ascii="宋体" w:hAnsi="宋体" w:cs="宋体"/>
                <w:b/>
                <w:bCs/>
                <w:szCs w:val="21"/>
              </w:rPr>
              <w:t xml:space="preserve">：</w:t>
            </w:r>
            <w:r/>
          </w:p>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项目负责人具有公路工程专业</w:t>
            </w:r>
            <w:r>
              <w:rPr>
                <w:rFonts w:ascii="宋体" w:hAnsi="宋体"/>
                <w:szCs w:val="21"/>
              </w:rPr>
              <w:t xml:space="preserve">二级</w:t>
            </w:r>
            <w:r>
              <w:rPr>
                <w:rFonts w:hint="eastAsia" w:ascii="宋体" w:hAnsi="宋体"/>
                <w:szCs w:val="21"/>
              </w:rPr>
              <w:t xml:space="preserve">建造师，且有安全生产考核合格证（B类证），得2分</w:t>
            </w:r>
            <w:r>
              <w:rPr>
                <w:rFonts w:ascii="宋体" w:hAnsi="宋体"/>
                <w:szCs w:val="21"/>
              </w:rPr>
              <w:t xml:space="preserve">；</w:t>
            </w:r>
            <w:r/>
          </w:p>
          <w:p>
            <w:pPr>
              <w:rPr>
                <w:rFonts w:ascii="宋体" w:hAnsi="宋体"/>
                <w:szCs w:val="21"/>
              </w:rPr>
            </w:pPr>
            <w:r>
              <w:rPr>
                <w:rFonts w:ascii="宋体" w:hAnsi="宋体"/>
                <w:szCs w:val="21"/>
              </w:rPr>
              <w:t xml:space="preserve">2.</w:t>
            </w:r>
            <w:r>
              <w:rPr>
                <w:rFonts w:hint="eastAsia" w:ascii="宋体" w:hAnsi="宋体"/>
                <w:szCs w:val="21"/>
              </w:rPr>
              <w:t xml:space="preserve">具备电工作业证的不少于2人的，得2分；</w:t>
            </w:r>
            <w:r/>
          </w:p>
          <w:p>
            <w:pPr>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具备高空作业证书的人员不少于2人的，得2分。</w:t>
            </w:r>
            <w:r/>
          </w:p>
          <w:p>
            <w:pPr>
              <w:rPr>
                <w:b/>
              </w:rPr>
            </w:pPr>
            <w:r>
              <w:rPr>
                <w:rFonts w:hint="eastAsia" w:ascii="宋体" w:hAnsi="宋体"/>
                <w:b/>
                <w:bCs/>
                <w:szCs w:val="21"/>
              </w:rPr>
              <w:t xml:space="preserve">注：提供有效的证书扫描件、投标人为其缴纳的近三个月社保证明材料，</w:t>
            </w:r>
            <w:r>
              <w:rPr>
                <w:rFonts w:hint="eastAsia" w:ascii="宋体" w:hAnsi="宋体"/>
                <w:b/>
                <w:bCs/>
                <w:szCs w:val="22"/>
              </w:rPr>
              <w:t xml:space="preserve">同一人员具有多种证书的只能按一个评分项得分,不得重复计分。</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6</w:t>
            </w:r>
            <w:r/>
          </w:p>
        </w:tc>
      </w:tr>
      <w:tr>
        <w:trPr>
          <w:trHeight w:val="596"/>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hint="eastAsia" w:ascii="宋体" w:hAnsi="宋体"/>
                <w:szCs w:val="21"/>
              </w:rPr>
              <w:t xml:space="preserve">▲</w:t>
            </w:r>
            <w:r>
              <w:rPr>
                <w:rFonts w:hint="eastAsia"/>
              </w:rPr>
              <w:t xml:space="preserve">施工设备</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r>
              <w:rPr>
                <w:rFonts w:hint="eastAsia"/>
              </w:rPr>
              <w:t xml:space="preserve">1</w:t>
            </w:r>
            <w:r>
              <w:rPr>
                <w:rFonts w:hint="eastAsia"/>
              </w:rPr>
              <w:t xml:space="preserve">、拟投入本项目的施工设备情况：有热熔及所有配套设备、冷喷及所有配套设备、</w:t>
            </w:r>
            <w:r>
              <w:t xml:space="preserve">水除线设备</w:t>
            </w:r>
            <w:r>
              <w:rPr>
                <w:rFonts w:hint="eastAsia"/>
              </w:rPr>
              <w:t xml:space="preserve">及所有配套设备，</w:t>
            </w:r>
            <w:r>
              <w:rPr>
                <w:rFonts w:hint="eastAsia"/>
                <w:b/>
              </w:rPr>
              <w:t xml:space="preserve">以上三组设备均有的得</w:t>
            </w:r>
            <w:r>
              <w:rPr>
                <w:rFonts w:hint="eastAsia"/>
                <w:b/>
              </w:rPr>
              <w:t xml:space="preserve">3</w:t>
            </w:r>
            <w:r>
              <w:rPr>
                <w:rFonts w:hint="eastAsia"/>
                <w:b/>
              </w:rPr>
              <w:t xml:space="preserve">分，少一组不得分。在此基础上每增加一组设备加</w:t>
            </w:r>
            <w:r>
              <w:rPr>
                <w:b/>
              </w:rPr>
              <w:t xml:space="preserve">2</w:t>
            </w:r>
            <w:r>
              <w:rPr>
                <w:rFonts w:hint="eastAsia"/>
                <w:b/>
              </w:rPr>
              <w:t xml:space="preserve">分，最高加</w:t>
            </w:r>
            <w:r>
              <w:rPr>
                <w:b/>
              </w:rPr>
              <w:t xml:space="preserve">4</w:t>
            </w:r>
            <w:r>
              <w:rPr>
                <w:rFonts w:hint="eastAsia"/>
                <w:b/>
              </w:rPr>
              <w:t xml:space="preserve">分。</w:t>
            </w:r>
            <w:r/>
          </w:p>
          <w:p>
            <w:r>
              <w:rPr>
                <w:rFonts w:hint="eastAsia"/>
              </w:rPr>
              <w:t xml:space="preserve">2</w:t>
            </w:r>
            <w:r>
              <w:rPr>
                <w:rFonts w:hint="eastAsia"/>
              </w:rPr>
              <w:t xml:space="preserve">、拟投入本项目的具备升降设备的工程车辆：每提供一辆得</w:t>
            </w:r>
            <w:r>
              <w:rPr>
                <w:rFonts w:hint="eastAsia"/>
              </w:rPr>
              <w:t xml:space="preserve">1</w:t>
            </w:r>
            <w:r>
              <w:rPr>
                <w:rFonts w:hint="eastAsia"/>
              </w:rPr>
              <w:t xml:space="preserve">分，最高得</w:t>
            </w:r>
            <w:r>
              <w:rPr>
                <w:rFonts w:hint="eastAsia"/>
              </w:rPr>
              <w:t xml:space="preserve">3</w:t>
            </w:r>
            <w:r>
              <w:rPr>
                <w:rFonts w:hint="eastAsia"/>
              </w:rPr>
              <w:t xml:space="preserve">分。</w:t>
            </w:r>
            <w:r/>
          </w:p>
          <w:p>
            <w:r>
              <w:rPr>
                <w:rFonts w:hint="eastAsia"/>
              </w:rPr>
              <w:t xml:space="preserve">3</w:t>
            </w:r>
            <w:r>
              <w:rPr>
                <w:rFonts w:hint="eastAsia"/>
              </w:rPr>
              <w:t xml:space="preserve">、拟投入本项目的吊车：至少提供一台，得</w:t>
            </w:r>
            <w:r>
              <w:rPr>
                <w:rFonts w:hint="eastAsia"/>
              </w:rPr>
              <w:t xml:space="preserve">3</w:t>
            </w:r>
            <w:r>
              <w:rPr>
                <w:rFonts w:hint="eastAsia"/>
              </w:rPr>
              <w:t xml:space="preserve">分，不提供不得分。</w:t>
            </w:r>
            <w:r/>
          </w:p>
          <w:p>
            <w:pPr>
              <w:rPr>
                <w:b/>
                <w:szCs w:val="21"/>
              </w:rPr>
            </w:pPr>
            <w:r>
              <w:rPr>
                <w:rFonts w:hint="eastAsia"/>
                <w:b/>
              </w:rPr>
              <w:t xml:space="preserve">本项最高得</w:t>
            </w:r>
            <w:r>
              <w:rPr>
                <w:rFonts w:hint="eastAsia"/>
                <w:b/>
              </w:rPr>
              <w:t xml:space="preserve">13</w:t>
            </w:r>
            <w:r>
              <w:rPr>
                <w:rFonts w:hint="eastAsia"/>
                <w:b/>
              </w:rPr>
              <w:t xml:space="preserve">分。（上述设备需提供设备照片及购置发票；上述</w:t>
            </w:r>
            <w:r>
              <w:rPr>
                <w:b/>
              </w:rPr>
              <w:t xml:space="preserve">自有产权车辆需提供车辆照片、行驶证或产权登记证扫描件；租赁车辆需提供车辆照片、行驶证及租赁合同扫描件；不提供不得分</w:t>
            </w:r>
            <w:r>
              <w:rPr>
                <w:rFonts w:hint="eastAsia"/>
                <w:b/>
              </w:rPr>
              <w:t xml:space="preserve">）</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1</w:t>
            </w:r>
            <w:r>
              <w:rPr>
                <w:rFonts w:ascii="宋体" w:hAnsi="宋体"/>
                <w:szCs w:val="21"/>
              </w:rPr>
              <w:t xml:space="preserve">3</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sz w:val="24"/>
              </w:rPr>
            </w:pPr>
            <w:r>
              <w:rPr>
                <w:rFonts w:hint="eastAsia" w:ascii="宋体" w:hAnsi="宋体"/>
                <w:szCs w:val="21"/>
              </w:rPr>
              <w:t xml:space="preserve">▲</w:t>
            </w:r>
            <w:r>
              <w:rPr>
                <w:rFonts w:hint="eastAsia"/>
              </w:rPr>
              <w:t xml:space="preserve">质保期</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rPr>
                <w:szCs w:val="21"/>
              </w:rPr>
            </w:pPr>
            <w:r>
              <w:rPr>
                <w:rFonts w:hint="eastAsia"/>
              </w:rPr>
              <w:t xml:space="preserve">明确免费安装维护产品质保期限及质保期内的服务内容，满足免费质量保证期限期（</w:t>
            </w:r>
            <w:r>
              <w:rPr>
                <w:rFonts w:hint="eastAsia"/>
              </w:rPr>
              <w:t xml:space="preserve">2</w:t>
            </w:r>
            <w:r>
              <w:rPr>
                <w:rFonts w:hint="eastAsia"/>
              </w:rPr>
              <w:t xml:space="preserve">年），在此基础上，每增加</w:t>
            </w:r>
            <w:r>
              <w:rPr>
                <w:rFonts w:hint="eastAsia"/>
              </w:rPr>
              <w:t xml:space="preserve">1</w:t>
            </w:r>
            <w:r>
              <w:rPr>
                <w:rFonts w:hint="eastAsia"/>
              </w:rPr>
              <w:t xml:space="preserve">年加</w:t>
            </w:r>
            <w:r>
              <w:rPr>
                <w:rFonts w:hint="eastAsia"/>
              </w:rPr>
              <w:t xml:space="preserve">1</w:t>
            </w:r>
            <w:r>
              <w:rPr>
                <w:rFonts w:hint="eastAsia"/>
              </w:rPr>
              <w:t xml:space="preserve">分，最高得</w:t>
            </w:r>
            <w:r>
              <w:t xml:space="preserve">2</w:t>
            </w:r>
            <w:r>
              <w:rPr>
                <w:rFonts w:hint="eastAsia"/>
              </w:rPr>
              <w:t xml:space="preserve">分。</w:t>
            </w:r>
            <w:r>
              <w:rPr>
                <w:rFonts w:hint="eastAsia"/>
                <w:b/>
                <w:bCs/>
              </w:rPr>
              <w:t xml:space="preserve">本项最高得</w:t>
            </w:r>
            <w:r>
              <w:rPr>
                <w:rFonts w:hint="eastAsia"/>
                <w:b/>
                <w:bCs/>
              </w:rPr>
              <w:t xml:space="preserve">2</w:t>
            </w:r>
            <w:r>
              <w:rPr>
                <w:rFonts w:hint="eastAsia"/>
                <w:b/>
                <w:bCs/>
              </w:rPr>
              <w:t xml:space="preserve">分，提</w:t>
            </w:r>
            <w:r>
              <w:rPr>
                <w:rFonts w:hint="eastAsia"/>
                <w:b/>
              </w:rPr>
              <w:t xml:space="preserve">供承诺函，格式自拟；不提供不得分。</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2</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rPr>
                <w:rFonts w:ascii="宋体" w:hAnsi="宋体" w:cs="宋体"/>
                <w:bCs/>
                <w:sz w:val="24"/>
              </w:rPr>
            </w:pPr>
            <w:r>
              <w:rPr>
                <w:rFonts w:hint="eastAsia" w:ascii="宋体" w:hAnsi="宋体"/>
                <w:szCs w:val="21"/>
              </w:rPr>
              <w:t xml:space="preserve">▲</w:t>
            </w:r>
            <w:r>
              <w:rPr>
                <w:rFonts w:hAnsi="宋体" w:cs="宋体"/>
                <w:color w:val="000000"/>
                <w:szCs w:val="21"/>
              </w:rPr>
              <w:t xml:space="preserve">体系认证</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r>
              <w:rPr>
                <w:rFonts w:hAnsi="宋体" w:cs="宋体"/>
                <w:color w:val="000000"/>
                <w:szCs w:val="21"/>
              </w:rPr>
              <w:t xml:space="preserve">投</w:t>
            </w:r>
            <w:r>
              <w:t xml:space="preserve">标人具有有效期内的质量管理体系认证</w:t>
            </w:r>
            <w:r>
              <w:rPr>
                <w:rFonts w:hint="eastAsia"/>
              </w:rPr>
              <w:t xml:space="preserve">证书</w:t>
            </w:r>
            <w:r>
              <w:t xml:space="preserve">、环境管理体系认证证书、职业健康安全管理体系认证证书，每有一证得</w:t>
            </w:r>
            <w:r>
              <w:t xml:space="preserve">1</w:t>
            </w:r>
            <w:r>
              <w:t xml:space="preserve">分，最高</w:t>
            </w:r>
            <w:r>
              <w:rPr>
                <w:rFonts w:hint="eastAsia"/>
              </w:rPr>
              <w:t xml:space="preserve">得</w:t>
            </w:r>
            <w:r>
              <w:t xml:space="preserve">3</w:t>
            </w:r>
            <w:r>
              <w:t xml:space="preserve">分。</w:t>
            </w:r>
            <w:r/>
          </w:p>
          <w:p>
            <w:pPr>
              <w:rPr>
                <w:b/>
                <w:szCs w:val="21"/>
              </w:rPr>
            </w:pPr>
            <w:r>
              <w:rPr>
                <w:rFonts w:hint="eastAsia"/>
                <w:b/>
              </w:rPr>
              <w:t xml:space="preserve">本项最高得</w:t>
            </w:r>
            <w:r>
              <w:rPr>
                <w:rFonts w:hint="eastAsia"/>
                <w:b/>
              </w:rPr>
              <w:t xml:space="preserve">3</w:t>
            </w:r>
            <w:r>
              <w:rPr>
                <w:rFonts w:hint="eastAsia"/>
                <w:b/>
              </w:rPr>
              <w:t xml:space="preserve">分。须提供在有效认证期内的证书扫描件，否则不得分。</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3</w:t>
            </w:r>
            <w:r/>
          </w:p>
        </w:tc>
      </w:tr>
      <w:tr>
        <w:trPr>
          <w:trHeight w:val="805"/>
        </w:trPr>
        <w:tc>
          <w:tcPr>
            <w:tcBorders>
              <w:left w:val="single" w:color="auto" w:sz="4" w:space="0"/>
              <w:right w:val="single" w:color="auto" w:sz="4" w:space="0"/>
            </w:tcBorders>
            <w:tcW w:w="1243" w:type="dxa"/>
            <w:vAlign w:val="center"/>
            <w:vMerge w:val="continue"/>
            <w:textDirection w:val="lrTb"/>
            <w:noWrap w:val="false"/>
          </w:tcPr>
          <w:p>
            <w:pPr>
              <w:spacing w:line="360" w:lineRule="auto"/>
              <w:rPr>
                <w:rFonts w:ascii="宋体" w:hAnsi="宋体"/>
                <w:b/>
                <w:szCs w:val="21"/>
                <w:u w:val="single"/>
              </w:rPr>
              <w:outlineLvl w:val="0"/>
            </w:pPr>
            <w:r>
              <w:rPr>
                <w:rFonts w:ascii="宋体" w:hAnsi="宋体"/>
                <w:b/>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pPr>
            <w:r>
              <w:rPr>
                <w:rFonts w:hint="eastAsia" w:ascii="宋体" w:hAnsi="宋体"/>
                <w:szCs w:val="21"/>
              </w:rPr>
              <w:t xml:space="preserve">▲</w:t>
            </w:r>
            <w:r>
              <w:rPr>
                <w:rFonts w:hint="eastAsia" w:hAnsi="宋体" w:cs="宋体"/>
                <w:color w:val="000000"/>
                <w:szCs w:val="21"/>
              </w:rPr>
              <w:t xml:space="preserve">相关</w:t>
            </w:r>
            <w:r>
              <w:rPr>
                <w:rFonts w:hint="eastAsia"/>
              </w:rPr>
              <w:t xml:space="preserve">荣誉</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pPr>
              <w:rPr>
                <w:rFonts w:hAnsi="宋体" w:cs="宋体"/>
                <w:color w:val="000000"/>
                <w:szCs w:val="21"/>
              </w:rPr>
            </w:pPr>
            <w:r>
              <w:rPr>
                <w:rFonts w:hAnsi="宋体" w:cs="宋体"/>
                <w:color w:val="000000"/>
                <w:szCs w:val="21"/>
              </w:rPr>
              <w:t xml:space="preserve">投标人</w:t>
            </w:r>
            <w:r>
              <w:rPr>
                <w:rFonts w:hint="eastAsia" w:hAnsi="宋体" w:cs="宋体"/>
                <w:color w:val="000000"/>
                <w:szCs w:val="21"/>
              </w:rPr>
              <w:t xml:space="preserve">在服务类似项目过程中，获得过政府或行政主管部门颁发的荣誉的，有一个得</w:t>
            </w:r>
            <w:r>
              <w:rPr>
                <w:rFonts w:hint="eastAsia" w:hAnsi="宋体" w:cs="宋体"/>
                <w:color w:val="000000"/>
                <w:szCs w:val="21"/>
              </w:rPr>
              <w:t xml:space="preserve">2</w:t>
            </w:r>
            <w:r>
              <w:rPr>
                <w:rFonts w:hint="eastAsia" w:hAnsi="宋体" w:cs="宋体"/>
                <w:color w:val="000000"/>
                <w:szCs w:val="21"/>
              </w:rPr>
              <w:t xml:space="preserve">分，最高得</w:t>
            </w:r>
            <w:r>
              <w:rPr>
                <w:rFonts w:hint="eastAsia" w:hAnsi="宋体" w:cs="宋体"/>
                <w:color w:val="000000"/>
                <w:szCs w:val="21"/>
              </w:rPr>
              <w:t xml:space="preserve">2</w:t>
            </w:r>
            <w:r>
              <w:rPr>
                <w:rFonts w:hint="eastAsia" w:hAnsi="宋体" w:cs="宋体"/>
                <w:color w:val="000000"/>
                <w:szCs w:val="21"/>
              </w:rPr>
              <w:t xml:space="preserve">分。</w:t>
            </w:r>
            <w:r/>
          </w:p>
          <w:p>
            <w:pPr>
              <w:rPr>
                <w:b/>
              </w:rPr>
            </w:pPr>
            <w:r>
              <w:rPr>
                <w:b/>
              </w:rPr>
              <w:t xml:space="preserve">须提供证明文件扫描件，否则不得分。</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2</w:t>
            </w:r>
            <w:r/>
          </w:p>
        </w:tc>
      </w:tr>
      <w:tr>
        <w:trPr>
          <w:trHeight w:val="718"/>
        </w:trPr>
        <w:tc>
          <w:tcPr>
            <w:tcBorders>
              <w:left w:val="single" w:color="auto" w:sz="4" w:space="0"/>
              <w:bottom w:val="single" w:color="auto" w:sz="4" w:space="0"/>
              <w:right w:val="single" w:color="auto" w:sz="4" w:space="0"/>
            </w:tcBorders>
            <w:tcW w:w="1243" w:type="dxa"/>
            <w:vAlign w:val="center"/>
            <w:vMerge w:val="continue"/>
            <w:textDirection w:val="lrTb"/>
            <w:noWrap w:val="false"/>
          </w:tcPr>
          <w:p>
            <w:pPr>
              <w:spacing w:line="360" w:lineRule="auto"/>
              <w:rPr>
                <w:rFonts w:ascii="宋体" w:hAnsi="宋体" w:cs="宋体"/>
                <w:szCs w:val="21"/>
                <w:u w:val="single"/>
              </w:rPr>
            </w:pPr>
            <w:r>
              <w:rPr>
                <w:rFonts w:ascii="宋体" w:hAnsi="宋体" w:cs="宋体"/>
                <w:szCs w:val="21"/>
                <w:u w:val="single"/>
              </w:rPr>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jc w:val="center"/>
            </w:pPr>
            <w:r>
              <w:rPr>
                <w:rFonts w:hint="eastAsia" w:ascii="宋体" w:hAnsi="宋体"/>
                <w:szCs w:val="21"/>
              </w:rPr>
              <w:t xml:space="preserve">▲</w:t>
            </w:r>
            <w:r>
              <w:rPr>
                <w:rFonts w:hint="eastAsia"/>
              </w:rPr>
              <w:t xml:space="preserve">类似业绩</w:t>
            </w:r>
            <w:r/>
          </w:p>
        </w:tc>
        <w:tc>
          <w:tcPr>
            <w:tcBorders>
              <w:top w:val="single" w:color="auto" w:sz="4" w:space="0"/>
              <w:left w:val="none" w:color="000000" w:sz="4" w:space="0"/>
              <w:bottom w:val="single" w:color="auto" w:sz="4" w:space="0"/>
              <w:right w:val="single" w:color="auto" w:sz="4" w:space="0"/>
            </w:tcBorders>
            <w:tcW w:w="6096" w:type="dxa"/>
            <w:vAlign w:val="center"/>
            <w:textDirection w:val="lrTb"/>
            <w:noWrap w:val="false"/>
          </w:tcPr>
          <w:p>
            <w:r>
              <w:rPr>
                <w:rFonts w:hint="eastAsia"/>
              </w:rPr>
              <w:t xml:space="preserve">投标单位自</w:t>
            </w:r>
            <w:r>
              <w:rPr>
                <w:rFonts w:hint="eastAsia"/>
              </w:rPr>
              <w:t xml:space="preserve">2</w:t>
            </w:r>
            <w:r>
              <w:t xml:space="preserve">0</w:t>
            </w:r>
            <w:r>
              <w:rPr>
                <w:rFonts w:hint="eastAsia"/>
              </w:rPr>
              <w:t xml:space="preserve">22</w:t>
            </w:r>
            <w:r>
              <w:rPr>
                <w:rFonts w:hint="eastAsia"/>
              </w:rPr>
              <w:t xml:space="preserve">年</w:t>
            </w:r>
            <w:r>
              <w:rPr>
                <w:rFonts w:hint="eastAsia"/>
              </w:rPr>
              <w:t xml:space="preserve">1</w:t>
            </w:r>
            <w:r>
              <w:rPr>
                <w:rFonts w:hint="eastAsia"/>
              </w:rPr>
              <w:t xml:space="preserve">月</w:t>
            </w:r>
            <w:r>
              <w:rPr>
                <w:rFonts w:hint="eastAsia"/>
              </w:rPr>
              <w:t xml:space="preserve">1</w:t>
            </w:r>
            <w:r>
              <w:rPr>
                <w:rFonts w:hint="eastAsia"/>
              </w:rPr>
              <w:t xml:space="preserve">日（以合同签订之日为准）起至今承担过类似业绩的，每有一个得</w:t>
            </w:r>
            <w:r>
              <w:t xml:space="preserve">2</w:t>
            </w:r>
            <w:r>
              <w:rPr>
                <w:rFonts w:hint="eastAsia"/>
              </w:rPr>
              <w:t xml:space="preserve">分，最高得</w:t>
            </w:r>
            <w:r>
              <w:rPr>
                <w:rFonts w:hint="eastAsia"/>
              </w:rPr>
              <w:t xml:space="preserve">8</w:t>
            </w:r>
            <w:r>
              <w:rPr>
                <w:rFonts w:hint="eastAsia"/>
              </w:rPr>
              <w:t xml:space="preserve">分。</w:t>
            </w:r>
            <w:r/>
          </w:p>
          <w:p>
            <w:pPr>
              <w:rPr>
                <w:b/>
              </w:rPr>
            </w:pPr>
            <w:r>
              <w:rPr>
                <w:rFonts w:hint="eastAsia" w:ascii="宋体" w:hAnsi="宋体" w:cs="宋体"/>
                <w:b/>
                <w:szCs w:val="21"/>
              </w:rPr>
              <w:t xml:space="preserve">提供有效的项目合同扫描件及部分发票，</w:t>
            </w:r>
            <w:r>
              <w:rPr>
                <w:rFonts w:hint="eastAsia" w:ascii="宋体" w:hAnsi="宋体" w:cs="宋体"/>
                <w:b/>
                <w:color w:val="000000"/>
                <w:szCs w:val="21"/>
                <w:shd w:val="clear" w:color="auto" w:fill="ffffff"/>
              </w:rPr>
              <w:t xml:space="preserve">否则不得分</w:t>
            </w:r>
            <w:r>
              <w:rPr>
                <w:rFonts w:hint="eastAsia" w:ascii="宋体" w:hAnsi="宋体" w:cs="宋体"/>
                <w:b/>
                <w:szCs w:val="21"/>
              </w:rPr>
              <w:t xml:space="preserve">。</w:t>
            </w:r>
            <w:bookmarkEnd w:id="100"/>
            <w:bookmarkEnd w:id="101"/>
            <w:bookmarkEnd w:id="102"/>
            <w:bookmarkEnd w:id="103"/>
            <w:bookmarkEnd w:id="104"/>
            <w:bookmarkEnd w:id="105"/>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rPr>
                <w:rFonts w:ascii="宋体" w:hAnsi="宋体"/>
                <w:szCs w:val="21"/>
              </w:rPr>
            </w:pPr>
            <w:r>
              <w:rPr>
                <w:rFonts w:hint="eastAsia" w:ascii="宋体" w:hAnsi="宋体"/>
                <w:szCs w:val="21"/>
              </w:rPr>
              <w:t xml:space="preserve">8</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备注：</w:t>
      </w:r>
      <w:r/>
    </w:p>
    <w:p>
      <w:pPr>
        <w:ind w:firstLine="420"/>
        <w:spacing w:line="360" w:lineRule="auto"/>
        <w:rPr>
          <w:rFonts w:ascii="宋体" w:hAnsi="宋体"/>
          <w:szCs w:val="21"/>
        </w:rPr>
      </w:pPr>
      <w:r>
        <w:rPr>
          <w:rFonts w:hint="eastAsia" w:ascii="宋体" w:hAnsi="宋体"/>
          <w:szCs w:val="21"/>
        </w:rPr>
        <w:t xml:space="preserve">1、为确保</w:t>
      </w:r>
      <w:r>
        <w:rPr>
          <w:rFonts w:hint="eastAsia" w:ascii="宋体" w:hAnsi="宋体"/>
          <w:szCs w:val="21"/>
        </w:rPr>
        <w:t xml:space="preserve">项目</w:t>
      </w:r>
      <w:r>
        <w:rPr>
          <w:rFonts w:hint="eastAsia" w:ascii="宋体" w:hAnsi="宋体"/>
          <w:szCs w:val="21"/>
        </w:rPr>
        <w:t xml:space="preserve">质量，</w:t>
      </w:r>
      <w:r>
        <w:rPr>
          <w:rFonts w:hint="eastAsia" w:ascii="宋体" w:hAnsi="宋体"/>
          <w:b/>
          <w:szCs w:val="21"/>
        </w:rPr>
        <w:t xml:space="preserve">投标</w:t>
      </w:r>
      <w:r>
        <w:rPr>
          <w:rFonts w:hint="eastAsia" w:ascii="宋体" w:hAnsi="宋体"/>
          <w:b/>
          <w:szCs w:val="21"/>
        </w:rPr>
        <w:t xml:space="preserve">供应商</w:t>
      </w:r>
      <w:r>
        <w:rPr>
          <w:rFonts w:hint="eastAsia" w:ascii="宋体" w:hAnsi="宋体"/>
          <w:b/>
          <w:szCs w:val="21"/>
        </w:rPr>
        <w:t xml:space="preserve">技术及其它部分</w:t>
      </w:r>
      <w:r>
        <w:rPr>
          <w:rFonts w:hint="eastAsia" w:ascii="宋体" w:hAnsi="宋体"/>
          <w:b/>
          <w:szCs w:val="21"/>
        </w:rPr>
        <w:t xml:space="preserve">分值</w:t>
      </w:r>
      <w:r>
        <w:rPr>
          <w:rFonts w:hint="eastAsia" w:ascii="宋体" w:hAnsi="宋体"/>
          <w:b/>
          <w:szCs w:val="21"/>
        </w:rPr>
        <w:t xml:space="preserve">低于75%（67.5分）作无效</w:t>
      </w:r>
      <w:r>
        <w:rPr>
          <w:rFonts w:hint="eastAsia" w:ascii="宋体" w:hAnsi="宋体"/>
          <w:b/>
          <w:szCs w:val="21"/>
        </w:rPr>
        <w:t xml:space="preserve">投标</w:t>
      </w:r>
      <w:r>
        <w:rPr>
          <w:rFonts w:hint="eastAsia" w:ascii="宋体" w:hAnsi="宋体"/>
          <w:b/>
          <w:szCs w:val="21"/>
        </w:rPr>
        <w:t xml:space="preserve">处理。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、涉及评审的资料均需电子</w:t>
      </w:r>
      <w:r>
        <w:rPr>
          <w:rFonts w:hint="eastAsia" w:ascii="宋体" w:hAnsi="宋体"/>
          <w:szCs w:val="21"/>
        </w:rPr>
        <w:t xml:space="preserve">件形式</w:t>
      </w:r>
      <w:r>
        <w:rPr>
          <w:rFonts w:hint="eastAsia" w:ascii="宋体" w:hAnsi="宋体"/>
          <w:szCs w:val="21"/>
        </w:rPr>
        <w:t xml:space="preserve">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w:t>
      </w:r>
      <w:r>
        <w:rPr>
          <w:rFonts w:hint="eastAsia" w:ascii="宋体" w:hAnsi="宋体" w:cs="宋体"/>
          <w:szCs w:val="21"/>
        </w:rPr>
        <w:t xml:space="preserve">针对评分标准中评分的每一条，投标人均应提供相关资料并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相应说明供评委评判，不提供</w:t>
      </w:r>
      <w:r>
        <w:rPr>
          <w:rFonts w:hint="eastAsia" w:ascii="宋体" w:hAnsi="宋体"/>
          <w:szCs w:val="21"/>
        </w:rPr>
        <w:t xml:space="preserve">相关资料的视为不具备该项得分的条件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、投标单位在进行网上投标时，以收到系统自动发回的PDF格式投标回执为上</w:t>
      </w:r>
      <w:r>
        <w:rPr>
          <w:rFonts w:hint="eastAsia" w:ascii="宋体" w:hAnsi="宋体"/>
          <w:szCs w:val="21"/>
        </w:rPr>
        <w:t xml:space="preserve">传成功</w:t>
      </w:r>
      <w:r>
        <w:rPr>
          <w:rFonts w:hint="eastAsia" w:ascii="宋体" w:hAnsi="宋体"/>
          <w:szCs w:val="21"/>
        </w:rPr>
        <w:t xml:space="preserve">的唯一标志，否则视为无效投标。</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招标人有权对中标人提供相关证明材料的原件进行核查，中标人须无条件配合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、打“▲”项目为客观分。</w:t>
      </w:r>
      <w:r/>
    </w:p>
    <w:p>
      <w:pPr>
        <w:jc w:val="center"/>
        <w:rPr>
          <w:rFonts w:asciiTheme="majorEastAsia" w:hAnsiTheme="majorEastAsia" w:eastAsiaTheme="majorEastAsia" w:cstheme="majorEastAsia"/>
          <w:b/>
          <w:sz w:val="32"/>
          <w:szCs w:val="32"/>
        </w:rPr>
        <w:sectPr>
          <w:footnotePr/>
          <w:endnotePr/>
          <w:type w:val="nextPage"/>
          <w:pgSz w:w="11906" w:h="16838" w:orient="portrait"/>
          <w:pgMar w:top="947" w:right="1418" w:bottom="947" w:left="1418" w:header="851" w:footer="992" w:gutter="0"/>
          <w:cols w:num="1" w:sep="0" w:space="425" w:equalWidth="1"/>
          <w:docGrid w:linePitch="360"/>
        </w:sectPr>
        <w:outlineLvl w:val="0"/>
      </w:pPr>
      <w:r/>
      <w:bookmarkStart w:id="106" w:name="_Toc5695_WPSOffice_Level1"/>
      <w:r/>
      <w:r/>
    </w:p>
    <w:p>
      <w:pPr>
        <w:jc w:val="center"/>
        <w:rPr>
          <w:rFonts w:asciiTheme="majorEastAsia" w:hAnsiTheme="majorEastAsia" w:eastAsiaTheme="majorEastAsia" w:cstheme="majorEastAsia"/>
          <w:b/>
          <w:sz w:val="32"/>
          <w:szCs w:val="32"/>
        </w:rPr>
        <w:outlineLvl w:val="0"/>
      </w:pPr>
      <w:r/>
      <w:bookmarkStart w:id="107" w:name="_Toc116396571"/>
      <w:r>
        <w:rPr>
          <w:rFonts w:hint="eastAsia" w:asciiTheme="majorEastAsia" w:hAnsiTheme="majorEastAsia" w:eastAsiaTheme="majorEastAsia" w:cstheme="majorEastAsia"/>
          <w:b/>
          <w:sz w:val="32"/>
          <w:szCs w:val="32"/>
        </w:rPr>
        <w:t xml:space="preserve">第七章  昆山市政府采购供应商诚信管理办法</w:t>
      </w:r>
      <w:bookmarkEnd w:id="106"/>
      <w:r/>
      <w:bookmarkEnd w:id="107"/>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一条、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第二条、本办法适用于参加昆山市范围内政府采购活动的供应商。</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供应商是指向采购人提供货物、工程或者服务的法人、其他组织或者自然人。</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第三条、政府采购当事人有权对供应商的行为进行监督，发现违法违规行为应当及时向政府采购监管部门反映，并配合做好调查处理工作。</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其他单位和个人对政府采购活动中供应商的违法违规行为，有权控告和检举，政府采购监管部门应当依法调查处理。</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第四条、供应商参加政府采购活动，应当遵循公平竞争、诚实信用原则。</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第五条、供应商参加政府采购活动的合法权益应当依法得到保护，任何人不得以任何手段损害供应商的合法权益。</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第六条、供应商监管工作应当依法进行，坚持公开透明、惩罚得当、信息共享的原则。</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第七条、实行政府采购供应商诚信管理制度。对供应商失信行为、不良行为等诚信信息，由政府采购监管部门予以记录，在昆山市政府采购活动中采用。</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第八条、供应商有下列情形之一的，按失信行为记入该供应商诚信档案中，每发生一个失信行为，诚信记录分减10分，供应商诚信记录起始基础分为60分，失信行为记录分有效期一年。</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（一）已递交投标（响应）文件而不参加开标的，或者开标时以各种理由不解密投标（响应）文件影响采购活动正常进行的；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（二）不遵守开评标现场纪律，故意扰乱开标评标现场秩序的；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（三）未按《政府采购法》等相关规定签订、履行合同的；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（四）无正当理由放弃中标（成交）的；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（五）履约验收不合格的；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（六）一年内累计三次及以上质疑均查无实据的；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（七）捏造事实、提供虚假材料进行恶意举报的；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（八）不配合或采用不正当手段干扰政府采购质疑、投诉处理工作的；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（九）经查实，利用产品授权等方式控制货源的；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（十）为采购项目提供整体设计、规范编制或者项目管理、监理、检测等服务，同时再参加该采购项目的其他采购活动的；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（十一）政府采购监管部门认定的其他失信行为。</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第九条、供应商有下列情形之一的，按不良行为记入该注册供应商诚信档案中，每发生一个</w:t>
      </w:r>
      <w:r>
        <w:rPr>
          <w:rFonts w:hint="eastAsia" w:asciiTheme="minorEastAsia" w:hAnsiTheme="minorEastAsia" w:eastAsiaTheme="minorEastAsia"/>
          <w:color w:val="000000"/>
          <w:szCs w:val="21"/>
        </w:rPr>
        <w:t xml:space="preserve">不良行为，诚信记录分减为零分，不良行为记录分有效期为处罚生效或者禁止参加政府采购活动期限：</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（一）提供虚假材料谋取中标（成交）的；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（二）采取不正当手段诋毁、排挤其他供应商的；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（三）与采购人、采购代理机构或者其他供应商恶意串通的；  </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（四）向采购人或者采购代理机构行贿或者提供其他不正当利益的；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（五）在采购过程中与采购人进行协商谈判、不按照采购文件和中标（成交）供应商的投标（响应）文件订立合同，或者与采购人另行订立背离合同实质性内容的协议的；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（六）拒绝有关部门监督检查或者提供虚假情况的；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（七）中标（成交）后无正当理由不与采购人签订合同的；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（八）将中标（成交）项目转让给他人，或者违反采购文件规定，将中标（成交）项目分包给他人的；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（九）拒绝履行合同义务的；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（十）一年内累计三次及以上投诉均查无实据的；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（十一）捏造事实或者提供虚假投诉材料或者以非法手段取得证明材料进行投诉的。</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供应商违法违规行为已被依法认定为不良行为的，不再重复认定为失信行为。</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一条、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第十二条、供应商在政府采购活动中存在不良行为的，按《江苏省政府采购供应商监督管理暂行办法》的规定执行。</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第十三条、本办法由昆山市财政局负责解释，自2018年8月21日起执行。昆山市财政局2016年3月1日发布的《昆山市政府采购供应商诚信管理暂行办法》（昆财规字〔2016〕2号）同时废止。</w:t>
      </w:r>
      <w:r/>
    </w:p>
    <w:p>
      <w:pPr>
        <w:ind w:firstLine="420"/>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                                                                </w:t>
      </w:r>
      <w:r/>
    </w:p>
    <w:p>
      <w:pPr>
        <w:pStyle w:val="925"/>
        <w:ind w:firstLine="0"/>
        <w:jc w:val="right"/>
        <w:rPr>
          <w:rFonts w:cs="Arial" w:asciiTheme="minorEastAsia" w:hAnsiTheme="minorEastAsia" w:eastAsiaTheme="minorEastAsia"/>
          <w:b/>
          <w:szCs w:val="21"/>
        </w:rPr>
      </w:pPr>
      <w:r/>
      <w:bookmarkStart w:id="108" w:name="_Toc29621_WPSOffice_Level1"/>
      <w:r>
        <w:rPr>
          <w:rFonts w:hint="eastAsia" w:cs="Arial" w:asciiTheme="minorEastAsia" w:hAnsiTheme="minorEastAsia" w:eastAsiaTheme="minorEastAsia"/>
          <w:b/>
          <w:szCs w:val="21"/>
        </w:rPr>
        <w:t xml:space="preserve">（全文完）</w:t>
      </w:r>
      <w:bookmarkEnd w:id="108"/>
      <w:r/>
      <w:r/>
    </w:p>
    <w:p>
      <w:r/>
      <w:r/>
    </w:p>
    <w:p>
      <w:r/>
      <w:r/>
    </w:p>
    <w:p>
      <w:r/>
      <w:r/>
    </w:p>
    <w:p>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楷体">
    <w:panose1 w:val="02010609060101010101"/>
  </w:font>
  <w:font w:name="Symbol">
    <w:panose1 w:val="05050102010706020507"/>
  </w:font>
  <w:font w:name="Wingdings">
    <w:panose1 w:val="05000000000000000000"/>
  </w:font>
  <w:font w:name="黑体">
    <w:panose1 w:val="02010609060101010101"/>
  </w:font>
  <w:font w:name="方正仿宋简体">
    <w:panose1 w:val="020B0503020202020204"/>
  </w:font>
  <w:font w:name="Courier New">
    <w:panose1 w:val="02070309020205020404"/>
  </w:font>
  <w:font w:name="创艺简仿宋">
    <w:panose1 w:val="020B0503020202020204"/>
  </w:font>
  <w:font w:name="Arial">
    <w:panose1 w:val="020B0604020202020204"/>
  </w:font>
  <w:font w:name="方正仿宋_GBK">
    <w:panose1 w:val="020B0503020202020204"/>
  </w:font>
  <w:font w:name="Cambria">
    <w:panose1 w:val="02040503050406030204"/>
  </w:font>
  <w:font w:name="楷体_GB2312">
    <w:panose1 w:val="02010609060101010101"/>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57275" cy="1828800"/>
              <wp:effectExtent l="0" t="0" r="9525"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05727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8"/>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57</w:t>
                          </w:r>
                          <w:r>
                            <w:fldChar w:fldCharType="end"/>
                          </w:r>
                          <w:r>
                            <w:rPr>
                              <w:rFonts w:hint="eastAsia"/>
                            </w:rPr>
                            <w:t xml:space="preserve"> </w:t>
                          </w:r>
                          <w:r>
                            <w:rPr>
                              <w:rFonts w:hint="eastAsia"/>
                            </w:rPr>
                            <w:t xml:space="preserve">页</w:t>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3.2pt;height:144.0pt;mso-wrap-distance-left:9.0pt;mso-wrap-distance-top:0.0pt;mso-wrap-distance-right:9.0pt;mso-wrap-distance-bottom:0.0pt;v-text-anchor:top;visibility:visible;" filled="f" stroked="f" strokeweight="0.50pt">
              <v:textbox inset="0,0,0,0">
                <w:txbxContent>
                  <w:p>
                    <w:pPr>
                      <w:pStyle w:val="728"/>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rPr>
                        <w:rFonts w:hint="eastAsia"/>
                      </w:rPr>
                      <w:t xml:space="preserve"> </w:t>
                    </w:r>
                    <w:r>
                      <w:rPr>
                        <w:rFonts w:hint="eastAsia"/>
                      </w:rPr>
                      <w:t xml:space="preserve">页</w:t>
                    </w:r>
                    <w:r>
                      <w:rPr>
                        <w:rFonts w:hint="eastAsia"/>
                      </w:rPr>
                      <w:t xml:space="preserve"> </w:t>
                    </w:r>
                    <w:r>
                      <w:rPr>
                        <w:rFonts w:hint="eastAsia"/>
                      </w:rPr>
                      <w:t xml:space="preserve">共</w:t>
                    </w:r>
                    <w:r>
                      <w:rPr>
                        <w:rFonts w:hint="eastAsia"/>
                      </w:rPr>
                      <w:t xml:space="preserve"> </w:t>
                    </w:r>
                    <w:r>
                      <w:fldChar w:fldCharType="begin"/>
                    </w:r>
                    <w:r>
                      <w:instrText xml:space="preserve"> NUMPAGES  \* MERGEFORMAT </w:instrText>
                    </w:r>
                    <w:r>
                      <w:fldChar w:fldCharType="separate"/>
                    </w:r>
                    <w:r>
                      <w:t xml:space="preserve">57</w:t>
                    </w:r>
                    <w:r>
                      <w:fldChar w:fldCharType="end"/>
                    </w:r>
                    <w:r>
                      <w:rPr>
                        <w:rFonts w:hint="eastAsia"/>
                      </w:rPr>
                      <w:t xml:space="preserve"> </w:t>
                    </w:r>
                    <w:r>
                      <w:rPr>
                        <w:rFonts w:hint="eastAsia"/>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top w:val="none" w:color="auto" w:sz="0" w:space="0"/>
        <w:bottom w:val="single" w:color="auto" w:sz="4" w:space="1"/>
      </w:pBdr>
    </w:pPr>
    <w:r>
      <w:rPr>
        <w:rFonts w:hint="eastAsia" w:ascii="宋体" w:hAnsi="宋体"/>
        <w:sz w:val="21"/>
        <w:szCs w:val="21"/>
      </w:rPr>
      <w:t xml:space="preserve">项目编号：</w:t>
    </w:r>
    <w:r>
      <w:rPr>
        <w:rFonts w:ascii="宋体" w:hAnsi="宋体"/>
        <w:sz w:val="21"/>
        <w:szCs w:val="21"/>
      </w:rPr>
      <w:t xml:space="preserve">JSZC-320583-XKYG-G202</w:t>
    </w:r>
    <w:r>
      <w:rPr>
        <w:rFonts w:hint="eastAsia" w:ascii="宋体" w:hAnsi="宋体"/>
        <w:sz w:val="21"/>
        <w:szCs w:val="21"/>
      </w:rPr>
      <w:t xml:space="preserve">5</w:t>
    </w:r>
    <w:r>
      <w:rPr>
        <w:rFonts w:ascii="宋体" w:hAnsi="宋体"/>
        <w:sz w:val="21"/>
        <w:szCs w:val="21"/>
      </w:rPr>
      <w:t xml:space="preserve">-000</w:t>
    </w:r>
    <w:r>
      <w:rPr>
        <w:rFonts w:hint="eastAsia" w:ascii="宋体" w:hAnsi="宋体"/>
        <w:sz w:val="21"/>
        <w:szCs w:val="21"/>
      </w:rPr>
      <w:t xml:space="preserve">7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99" w:default="1">
    <w:name w:val="Normal"/>
    <w:next w:val="712"/>
    <w:qFormat/>
    <w:pPr>
      <w:jc w:val="both"/>
      <w:widowControl w:val="off"/>
    </w:pPr>
    <w:rPr>
      <w:rFonts w:ascii="Times New Roman" w:hAnsi="Times New Roman" w:eastAsia="宋体" w:cs="Times New Roman"/>
      <w:sz w:val="21"/>
      <w:szCs w:val="24"/>
    </w:rPr>
  </w:style>
  <w:style w:type="paragraph" w:styleId="700">
    <w:name w:val="Heading 1"/>
    <w:basedOn w:val="699"/>
    <w:next w:val="699"/>
    <w:link w:val="910"/>
    <w:qFormat/>
    <w:pPr>
      <w:keepLines/>
      <w:keepNext/>
      <w:spacing w:before="340" w:after="330" w:line="576" w:lineRule="auto"/>
      <w:outlineLvl w:val="0"/>
    </w:pPr>
    <w:rPr>
      <w:rFonts w:eastAsia="楷体_GB2312"/>
      <w:b/>
      <w:sz w:val="44"/>
      <w:szCs w:val="20"/>
    </w:rPr>
  </w:style>
  <w:style w:type="paragraph" w:styleId="701">
    <w:name w:val="Heading 2"/>
    <w:basedOn w:val="699"/>
    <w:next w:val="699"/>
    <w:link w:val="911"/>
    <w:qFormat/>
    <w:pPr>
      <w:keepLines/>
      <w:keepNext/>
      <w:spacing w:before="260" w:after="260" w:line="415" w:lineRule="auto"/>
      <w:outlineLvl w:val="1"/>
    </w:pPr>
    <w:rPr>
      <w:rFonts w:ascii="Cambria" w:hAnsi="Cambria"/>
      <w:b/>
      <w:bCs/>
      <w:sz w:val="32"/>
      <w:szCs w:val="32"/>
    </w:rPr>
  </w:style>
  <w:style w:type="paragraph" w:styleId="702">
    <w:name w:val="Heading 3"/>
    <w:basedOn w:val="699"/>
    <w:next w:val="699"/>
    <w:link w:val="765"/>
    <w:uiPriority w:val="9"/>
    <w:unhideWhenUsed/>
    <w:qFormat/>
    <w:pPr>
      <w:keepLines/>
      <w:keepNext/>
      <w:spacing w:before="320" w:after="200"/>
      <w:outlineLvl w:val="2"/>
    </w:pPr>
    <w:rPr>
      <w:rFonts w:ascii="Arial" w:hAnsi="Arial" w:eastAsia="Arial" w:cs="Arial"/>
      <w:sz w:val="30"/>
      <w:szCs w:val="30"/>
    </w:rPr>
  </w:style>
  <w:style w:type="paragraph" w:styleId="703">
    <w:name w:val="Heading 4"/>
    <w:basedOn w:val="699"/>
    <w:next w:val="699"/>
    <w:link w:val="766"/>
    <w:uiPriority w:val="9"/>
    <w:unhideWhenUsed/>
    <w:qFormat/>
    <w:pPr>
      <w:keepLines/>
      <w:keepNext/>
      <w:spacing w:before="320" w:after="200"/>
      <w:outlineLvl w:val="3"/>
    </w:pPr>
    <w:rPr>
      <w:rFonts w:ascii="Arial" w:hAnsi="Arial" w:eastAsia="Arial" w:cs="Arial"/>
      <w:b/>
      <w:bCs/>
      <w:sz w:val="26"/>
      <w:szCs w:val="26"/>
    </w:rPr>
  </w:style>
  <w:style w:type="paragraph" w:styleId="704">
    <w:name w:val="Heading 5"/>
    <w:basedOn w:val="699"/>
    <w:next w:val="699"/>
    <w:link w:val="767"/>
    <w:uiPriority w:val="9"/>
    <w:unhideWhenUsed/>
    <w:qFormat/>
    <w:pPr>
      <w:keepLines/>
      <w:keepNext/>
      <w:spacing w:before="320" w:after="200"/>
      <w:outlineLvl w:val="4"/>
    </w:pPr>
    <w:rPr>
      <w:rFonts w:ascii="Arial" w:hAnsi="Arial" w:eastAsia="Arial" w:cs="Arial"/>
      <w:b/>
      <w:bCs/>
      <w:sz w:val="24"/>
    </w:rPr>
  </w:style>
  <w:style w:type="paragraph" w:styleId="705">
    <w:name w:val="Heading 6"/>
    <w:basedOn w:val="699"/>
    <w:next w:val="699"/>
    <w:link w:val="768"/>
    <w:uiPriority w:val="9"/>
    <w:unhideWhenUsed/>
    <w:qFormat/>
    <w:pPr>
      <w:keepLines/>
      <w:keepNext/>
      <w:spacing w:before="320" w:after="200"/>
      <w:outlineLvl w:val="5"/>
    </w:pPr>
    <w:rPr>
      <w:rFonts w:ascii="Arial" w:hAnsi="Arial" w:eastAsia="Arial" w:cs="Arial"/>
      <w:b/>
      <w:bCs/>
      <w:sz w:val="22"/>
      <w:szCs w:val="22"/>
    </w:rPr>
  </w:style>
  <w:style w:type="paragraph" w:styleId="706">
    <w:name w:val="Heading 7"/>
    <w:basedOn w:val="699"/>
    <w:next w:val="699"/>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07">
    <w:name w:val="Heading 8"/>
    <w:basedOn w:val="699"/>
    <w:next w:val="699"/>
    <w:link w:val="770"/>
    <w:uiPriority w:val="9"/>
    <w:unhideWhenUsed/>
    <w:qFormat/>
    <w:pPr>
      <w:keepLines/>
      <w:keepNext/>
      <w:spacing w:before="320" w:after="200"/>
      <w:outlineLvl w:val="7"/>
    </w:pPr>
    <w:rPr>
      <w:rFonts w:ascii="Arial" w:hAnsi="Arial" w:eastAsia="Arial" w:cs="Arial"/>
      <w:i/>
      <w:iCs/>
      <w:sz w:val="22"/>
      <w:szCs w:val="22"/>
    </w:rPr>
  </w:style>
  <w:style w:type="paragraph" w:styleId="708">
    <w:name w:val="Heading 9"/>
    <w:basedOn w:val="699"/>
    <w:next w:val="699"/>
    <w:link w:val="771"/>
    <w:uiPriority w:val="9"/>
    <w:unhideWhenUsed/>
    <w:qFormat/>
    <w:pPr>
      <w:keepLines/>
      <w:keepNext/>
      <w:spacing w:before="320" w:after="200"/>
      <w:outlineLvl w:val="8"/>
    </w:pPr>
    <w:rPr>
      <w:rFonts w:ascii="Arial" w:hAnsi="Arial" w:eastAsia="Arial" w:cs="Arial"/>
      <w:i/>
      <w:iCs/>
      <w:szCs w:val="21"/>
    </w:rPr>
  </w:style>
  <w:style w:type="character" w:styleId="709" w:default="1">
    <w:name w:val="Default Paragraph Font"/>
    <w:uiPriority w:val="1"/>
    <w:semiHidden/>
    <w:unhideWhenUsed/>
  </w:style>
  <w:style w:type="table" w:styleId="710" w:default="1">
    <w:name w:val="Normal Table"/>
    <w:uiPriority w:val="99"/>
    <w:semiHidden/>
    <w:unhideWhenUsed/>
    <w:tblPr>
      <w:tblInd w:w="0" w:type="dxa"/>
      <w:tblCellMar>
        <w:left w:w="108" w:type="dxa"/>
        <w:top w:w="0" w:type="dxa"/>
        <w:right w:w="108" w:type="dxa"/>
        <w:bottom w:w="0" w:type="dxa"/>
      </w:tblCellMar>
    </w:tblPr>
  </w:style>
  <w:style w:type="numbering" w:styleId="711" w:default="1">
    <w:name w:val="No List"/>
    <w:uiPriority w:val="99"/>
    <w:semiHidden/>
    <w:unhideWhenUsed/>
  </w:style>
  <w:style w:type="paragraph" w:styleId="712" w:customStyle="1">
    <w:name w:val="段"/>
    <w:next w:val="699"/>
    <w:qFormat/>
    <w:pPr>
      <w:ind w:firstLine="200"/>
      <w:jc w:val="both"/>
    </w:pPr>
    <w:rPr>
      <w:rFonts w:hint="eastAsia" w:ascii="宋体" w:hAnsi="Times New Roman" w:eastAsia="宋体" w:cs="Times New Roman"/>
      <w:sz w:val="21"/>
    </w:rPr>
  </w:style>
  <w:style w:type="paragraph" w:styleId="713">
    <w:name w:val="macro"/>
    <w:link w:val="943"/>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714">
    <w:name w:val="List 3"/>
    <w:basedOn w:val="699"/>
    <w:qFormat/>
    <w:pPr>
      <w:ind w:left="1260" w:hanging="420"/>
    </w:pPr>
  </w:style>
  <w:style w:type="paragraph" w:styleId="715">
    <w:name w:val="toc 7"/>
    <w:basedOn w:val="699"/>
    <w:next w:val="699"/>
    <w:unhideWhenUsed/>
    <w:qFormat/>
    <w:pPr>
      <w:ind w:left="2520"/>
    </w:pPr>
  </w:style>
  <w:style w:type="paragraph" w:styleId="716">
    <w:name w:val="Normal Indent"/>
    <w:basedOn w:val="699"/>
    <w:link w:val="912"/>
    <w:qFormat/>
    <w:pPr>
      <w:ind w:firstLine="420"/>
      <w:jc w:val="left"/>
    </w:pPr>
    <w:rPr>
      <w:sz w:val="24"/>
    </w:rPr>
  </w:style>
  <w:style w:type="paragraph" w:styleId="717">
    <w:name w:val="Caption"/>
    <w:basedOn w:val="699"/>
    <w:next w:val="699"/>
    <w:uiPriority w:val="35"/>
    <w:semiHidden/>
    <w:unhideWhenUsed/>
    <w:qFormat/>
    <w:pPr>
      <w:spacing w:line="276" w:lineRule="auto"/>
    </w:pPr>
    <w:rPr>
      <w:b/>
      <w:bCs/>
      <w:color w:val="5b9bd5" w:themeColor="accent1"/>
      <w:sz w:val="18"/>
      <w:szCs w:val="18"/>
    </w:rPr>
  </w:style>
  <w:style w:type="paragraph" w:styleId="718">
    <w:name w:val="annotation text"/>
    <w:basedOn w:val="699"/>
    <w:link w:val="913"/>
    <w:qFormat/>
    <w:pPr>
      <w:jc w:val="left"/>
    </w:pPr>
  </w:style>
  <w:style w:type="paragraph" w:styleId="719">
    <w:name w:val="Body Text"/>
    <w:basedOn w:val="699"/>
    <w:uiPriority w:val="99"/>
    <w:unhideWhenUsed/>
    <w:qFormat/>
    <w:pPr>
      <w:spacing w:after="120"/>
    </w:pPr>
  </w:style>
  <w:style w:type="paragraph" w:styleId="720">
    <w:name w:val="Body Text Indent"/>
    <w:basedOn w:val="699"/>
    <w:link w:val="914"/>
    <w:qFormat/>
    <w:pPr>
      <w:ind w:left="570"/>
      <w:spacing w:line="520" w:lineRule="exact"/>
    </w:pPr>
    <w:rPr>
      <w:rFonts w:ascii="方正仿宋简体" w:hAnsi="创艺简仿宋" w:eastAsia="方正仿宋简体"/>
      <w:sz w:val="24"/>
      <w:szCs w:val="20"/>
    </w:rPr>
  </w:style>
  <w:style w:type="paragraph" w:styleId="721">
    <w:name w:val="toc 5"/>
    <w:basedOn w:val="699"/>
    <w:next w:val="699"/>
    <w:uiPriority w:val="39"/>
    <w:unhideWhenUsed/>
    <w:qFormat/>
    <w:pPr>
      <w:ind w:left="1134"/>
      <w:spacing w:after="57"/>
    </w:pPr>
  </w:style>
  <w:style w:type="paragraph" w:styleId="722">
    <w:name w:val="toc 3"/>
    <w:basedOn w:val="699"/>
    <w:next w:val="699"/>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723">
    <w:name w:val="Plain Text"/>
    <w:basedOn w:val="699"/>
    <w:link w:val="915"/>
    <w:qFormat/>
    <w:rPr>
      <w:rFonts w:ascii="宋体" w:hAnsi="Courier New" w:eastAsia="楷体_GB2312"/>
      <w:sz w:val="28"/>
      <w:szCs w:val="20"/>
    </w:rPr>
  </w:style>
  <w:style w:type="paragraph" w:styleId="724">
    <w:name w:val="toc 8"/>
    <w:basedOn w:val="699"/>
    <w:next w:val="699"/>
    <w:uiPriority w:val="39"/>
    <w:unhideWhenUsed/>
    <w:qFormat/>
    <w:pPr>
      <w:ind w:left="1984"/>
      <w:spacing w:after="57"/>
    </w:pPr>
  </w:style>
  <w:style w:type="paragraph" w:styleId="725">
    <w:name w:val="Date"/>
    <w:basedOn w:val="699"/>
    <w:next w:val="699"/>
    <w:link w:val="916"/>
    <w:qFormat/>
    <w:rPr>
      <w:rFonts w:ascii="宋体" w:hAnsi="宋体" w:eastAsia="楷体_GB2312"/>
      <w:sz w:val="24"/>
      <w:szCs w:val="20"/>
    </w:rPr>
  </w:style>
  <w:style w:type="paragraph" w:styleId="726">
    <w:name w:val="endnote text"/>
    <w:basedOn w:val="699"/>
    <w:link w:val="908"/>
    <w:uiPriority w:val="99"/>
    <w:semiHidden/>
    <w:unhideWhenUsed/>
    <w:qFormat/>
    <w:rPr>
      <w:sz w:val="20"/>
    </w:rPr>
  </w:style>
  <w:style w:type="paragraph" w:styleId="727">
    <w:name w:val="Balloon Text"/>
    <w:basedOn w:val="699"/>
    <w:link w:val="917"/>
    <w:qFormat/>
    <w:rPr>
      <w:sz w:val="18"/>
      <w:szCs w:val="18"/>
    </w:rPr>
  </w:style>
  <w:style w:type="paragraph" w:styleId="728">
    <w:name w:val="Footer"/>
    <w:basedOn w:val="699"/>
    <w:link w:val="918"/>
    <w:uiPriority w:val="99"/>
    <w:qFormat/>
    <w:pPr>
      <w:jc w:val="left"/>
      <w:tabs>
        <w:tab w:val="center" w:pos="4153" w:leader="none"/>
        <w:tab w:val="right" w:pos="8306" w:leader="none"/>
      </w:tabs>
    </w:pPr>
    <w:rPr>
      <w:sz w:val="18"/>
    </w:rPr>
  </w:style>
  <w:style w:type="paragraph" w:styleId="729">
    <w:name w:val="Header"/>
    <w:basedOn w:val="699"/>
    <w:link w:val="91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0">
    <w:name w:val="toc 1"/>
    <w:basedOn w:val="699"/>
    <w:next w:val="699"/>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731">
    <w:name w:val="toc 4"/>
    <w:basedOn w:val="699"/>
    <w:next w:val="699"/>
    <w:uiPriority w:val="39"/>
    <w:unhideWhenUsed/>
    <w:qFormat/>
    <w:pPr>
      <w:ind w:left="850"/>
      <w:spacing w:after="57"/>
    </w:pPr>
  </w:style>
  <w:style w:type="paragraph" w:styleId="732">
    <w:name w:val="Subtitle"/>
    <w:basedOn w:val="699"/>
    <w:next w:val="699"/>
    <w:link w:val="774"/>
    <w:uiPriority w:val="11"/>
    <w:qFormat/>
    <w:pPr>
      <w:spacing w:before="200" w:after="200"/>
    </w:pPr>
    <w:rPr>
      <w:sz w:val="24"/>
    </w:rPr>
  </w:style>
  <w:style w:type="paragraph" w:styleId="733">
    <w:name w:val="footnote text"/>
    <w:basedOn w:val="699"/>
    <w:link w:val="907"/>
    <w:uiPriority w:val="99"/>
    <w:semiHidden/>
    <w:unhideWhenUsed/>
    <w:qFormat/>
    <w:pPr>
      <w:spacing w:after="40"/>
    </w:pPr>
    <w:rPr>
      <w:sz w:val="18"/>
    </w:rPr>
  </w:style>
  <w:style w:type="paragraph" w:styleId="734">
    <w:name w:val="toc 6"/>
    <w:basedOn w:val="699"/>
    <w:next w:val="699"/>
    <w:uiPriority w:val="39"/>
    <w:unhideWhenUsed/>
    <w:qFormat/>
    <w:pPr>
      <w:ind w:left="1417"/>
      <w:spacing w:after="57"/>
    </w:pPr>
  </w:style>
  <w:style w:type="paragraph" w:styleId="735">
    <w:name w:val="Body Text Indent 3"/>
    <w:basedOn w:val="699"/>
    <w:link w:val="936"/>
    <w:qFormat/>
    <w:pPr>
      <w:ind w:left="420"/>
      <w:spacing w:after="120"/>
    </w:pPr>
    <w:rPr>
      <w:sz w:val="16"/>
      <w:szCs w:val="16"/>
    </w:rPr>
  </w:style>
  <w:style w:type="paragraph" w:styleId="736">
    <w:name w:val="table of figures"/>
    <w:basedOn w:val="699"/>
    <w:next w:val="699"/>
    <w:uiPriority w:val="99"/>
    <w:unhideWhenUsed/>
    <w:qFormat/>
  </w:style>
  <w:style w:type="paragraph" w:styleId="737">
    <w:name w:val="toc 2"/>
    <w:basedOn w:val="699"/>
    <w:next w:val="699"/>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738">
    <w:name w:val="toc 9"/>
    <w:basedOn w:val="699"/>
    <w:next w:val="699"/>
    <w:uiPriority w:val="39"/>
    <w:unhideWhenUsed/>
    <w:qFormat/>
    <w:pPr>
      <w:ind w:left="2268"/>
      <w:spacing w:after="57"/>
    </w:pPr>
  </w:style>
  <w:style w:type="paragraph" w:styleId="739">
    <w:name w:val="Body Text 2"/>
    <w:basedOn w:val="699"/>
    <w:link w:val="938"/>
    <w:qFormat/>
    <w:pPr>
      <w:spacing w:after="120" w:line="480" w:lineRule="auto"/>
    </w:pPr>
  </w:style>
  <w:style w:type="paragraph" w:styleId="740">
    <w:name w:val="HTML Preformatted"/>
    <w:basedOn w:val="699"/>
    <w:link w:val="93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41">
    <w:name w:val="Title"/>
    <w:basedOn w:val="699"/>
    <w:next w:val="699"/>
    <w:link w:val="939"/>
    <w:qFormat/>
    <w:pPr>
      <w:jc w:val="center"/>
      <w:spacing w:before="240" w:after="60"/>
      <w:outlineLvl w:val="0"/>
    </w:pPr>
    <w:rPr>
      <w:rFonts w:ascii="Cambria" w:hAnsi="Cambria"/>
      <w:b/>
      <w:bCs/>
      <w:sz w:val="32"/>
      <w:szCs w:val="32"/>
    </w:rPr>
  </w:style>
  <w:style w:type="paragraph" w:styleId="742">
    <w:name w:val="annotation subject"/>
    <w:basedOn w:val="718"/>
    <w:next w:val="718"/>
    <w:link w:val="920"/>
    <w:qFormat/>
    <w:rPr>
      <w:b/>
      <w:bCs/>
    </w:rPr>
  </w:style>
  <w:style w:type="paragraph" w:styleId="743">
    <w:name w:val="Body Text First Indent 2"/>
    <w:basedOn w:val="720"/>
    <w:link w:val="940"/>
    <w:qFormat/>
    <w:pPr>
      <w:ind w:left="420" w:firstLine="420"/>
      <w:spacing w:after="120" w:line="240" w:lineRule="auto"/>
    </w:pPr>
    <w:rPr>
      <w:rFonts w:ascii="Times New Roman" w:hAnsi="Times New Roman" w:eastAsia="楷体_GB2312"/>
      <w:sz w:val="26"/>
    </w:rPr>
  </w:style>
  <w:style w:type="table" w:styleId="744">
    <w:name w:val="Table Grid"/>
    <w:basedOn w:val="71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Strong"/>
    <w:qFormat/>
    <w:rPr>
      <w:rFonts w:ascii="Times New Roman" w:eastAsia="宋体"/>
      <w:b/>
      <w:color w:val="000000"/>
      <w:spacing w:val="0"/>
      <w:sz w:val="21"/>
      <w:u w:val="none"/>
      <w:vertAlign w:val="baseline"/>
      <w:lang w:val="en-US" w:eastAsia="zh-CN"/>
    </w:rPr>
  </w:style>
  <w:style w:type="character" w:styleId="746">
    <w:name w:val="endnote reference"/>
    <w:basedOn w:val="709"/>
    <w:uiPriority w:val="99"/>
    <w:semiHidden/>
    <w:unhideWhenUsed/>
    <w:qFormat/>
    <w:rPr>
      <w:vertAlign w:val="superscript"/>
    </w:rPr>
  </w:style>
  <w:style w:type="character" w:styleId="747">
    <w:name w:val="page number"/>
    <w:basedOn w:val="709"/>
    <w:qFormat/>
  </w:style>
  <w:style w:type="character" w:styleId="748">
    <w:name w:val="HTML Typewriter"/>
    <w:qFormat/>
    <w:rPr>
      <w:rFonts w:ascii="黑体" w:hAnsi="Courier New" w:eastAsia="黑体" w:cs="Courier New"/>
      <w:sz w:val="14"/>
      <w:szCs w:val="14"/>
      <w:lang w:val="en-US" w:eastAsia="zh-CN" w:bidi="ar-SA"/>
    </w:rPr>
  </w:style>
  <w:style w:type="character" w:styleId="749">
    <w:name w:val="Hyperlink"/>
    <w:basedOn w:val="709"/>
    <w:uiPriority w:val="99"/>
    <w:unhideWhenUsed/>
    <w:qFormat/>
    <w:rPr>
      <w:color w:val="0563c1" w:themeColor="hyperlink"/>
      <w:u w:val="single"/>
    </w:rPr>
  </w:style>
  <w:style w:type="character" w:styleId="750">
    <w:name w:val="annotation reference"/>
    <w:basedOn w:val="709"/>
    <w:qFormat/>
    <w:rPr>
      <w:sz w:val="21"/>
      <w:szCs w:val="21"/>
    </w:rPr>
  </w:style>
  <w:style w:type="character" w:styleId="751">
    <w:name w:val="footnote reference"/>
    <w:basedOn w:val="709"/>
    <w:uiPriority w:val="99"/>
    <w:unhideWhenUsed/>
    <w:qFormat/>
    <w:rPr>
      <w:vertAlign w:val="superscript"/>
    </w:rPr>
  </w:style>
  <w:style w:type="character" w:styleId="752" w:customStyle="1">
    <w:name w:val="Heading 3 Char"/>
    <w:basedOn w:val="709"/>
    <w:uiPriority w:val="9"/>
    <w:qFormat/>
    <w:rPr>
      <w:rFonts w:ascii="Arial" w:hAnsi="Arial" w:eastAsia="Arial" w:cs="Arial"/>
      <w:sz w:val="30"/>
      <w:szCs w:val="30"/>
    </w:rPr>
  </w:style>
  <w:style w:type="character" w:styleId="753" w:customStyle="1">
    <w:name w:val="Heading 4 Char"/>
    <w:basedOn w:val="709"/>
    <w:uiPriority w:val="9"/>
    <w:qFormat/>
    <w:rPr>
      <w:rFonts w:ascii="Arial" w:hAnsi="Arial" w:eastAsia="Arial" w:cs="Arial"/>
      <w:b/>
      <w:bCs/>
      <w:sz w:val="26"/>
      <w:szCs w:val="26"/>
    </w:rPr>
  </w:style>
  <w:style w:type="character" w:styleId="754" w:customStyle="1">
    <w:name w:val="Heading 5 Char"/>
    <w:basedOn w:val="709"/>
    <w:uiPriority w:val="9"/>
    <w:qFormat/>
    <w:rPr>
      <w:rFonts w:ascii="Arial" w:hAnsi="Arial" w:eastAsia="Arial" w:cs="Arial"/>
      <w:b/>
      <w:bCs/>
      <w:sz w:val="24"/>
      <w:szCs w:val="24"/>
    </w:rPr>
  </w:style>
  <w:style w:type="character" w:styleId="755" w:customStyle="1">
    <w:name w:val="Heading 6 Char"/>
    <w:basedOn w:val="709"/>
    <w:uiPriority w:val="9"/>
    <w:qFormat/>
    <w:rPr>
      <w:rFonts w:ascii="Arial" w:hAnsi="Arial" w:eastAsia="Arial" w:cs="Arial"/>
      <w:b/>
      <w:bCs/>
      <w:sz w:val="22"/>
      <w:szCs w:val="22"/>
    </w:rPr>
  </w:style>
  <w:style w:type="character" w:styleId="756" w:customStyle="1">
    <w:name w:val="Heading 7 Char"/>
    <w:basedOn w:val="709"/>
    <w:uiPriority w:val="9"/>
    <w:qFormat/>
    <w:rPr>
      <w:rFonts w:ascii="Arial" w:hAnsi="Arial" w:eastAsia="Arial" w:cs="Arial"/>
      <w:b/>
      <w:bCs/>
      <w:i/>
      <w:iCs/>
      <w:sz w:val="22"/>
      <w:szCs w:val="22"/>
    </w:rPr>
  </w:style>
  <w:style w:type="character" w:styleId="757" w:customStyle="1">
    <w:name w:val="Heading 8 Char"/>
    <w:basedOn w:val="709"/>
    <w:uiPriority w:val="9"/>
    <w:qFormat/>
    <w:rPr>
      <w:rFonts w:ascii="Arial" w:hAnsi="Arial" w:eastAsia="Arial" w:cs="Arial"/>
      <w:i/>
      <w:iCs/>
      <w:sz w:val="22"/>
      <w:szCs w:val="22"/>
    </w:rPr>
  </w:style>
  <w:style w:type="character" w:styleId="758" w:customStyle="1">
    <w:name w:val="Heading 9 Char"/>
    <w:basedOn w:val="709"/>
    <w:uiPriority w:val="9"/>
    <w:qFormat/>
    <w:rPr>
      <w:rFonts w:ascii="Arial" w:hAnsi="Arial" w:eastAsia="Arial" w:cs="Arial"/>
      <w:i/>
      <w:iCs/>
      <w:sz w:val="21"/>
      <w:szCs w:val="21"/>
    </w:rPr>
  </w:style>
  <w:style w:type="character" w:styleId="759" w:customStyle="1">
    <w:name w:val="Subtitle Char"/>
    <w:basedOn w:val="709"/>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character" w:styleId="764" w:customStyle="1">
    <w:name w:val="Heading 1 Char"/>
    <w:basedOn w:val="709"/>
    <w:uiPriority w:val="9"/>
    <w:qFormat/>
    <w:rPr>
      <w:rFonts w:ascii="Arial" w:hAnsi="Arial" w:eastAsia="Arial" w:cs="Arial"/>
      <w:sz w:val="40"/>
      <w:szCs w:val="40"/>
    </w:rPr>
  </w:style>
  <w:style w:type="character" w:styleId="765" w:customStyle="1">
    <w:name w:val="标题 3 Char"/>
    <w:basedOn w:val="709"/>
    <w:link w:val="702"/>
    <w:uiPriority w:val="9"/>
    <w:qFormat/>
    <w:rPr>
      <w:rFonts w:ascii="Arial" w:hAnsi="Arial" w:eastAsia="Arial" w:cs="Arial"/>
      <w:sz w:val="30"/>
      <w:szCs w:val="30"/>
    </w:rPr>
  </w:style>
  <w:style w:type="character" w:styleId="766" w:customStyle="1">
    <w:name w:val="标题 4 Char"/>
    <w:basedOn w:val="709"/>
    <w:link w:val="703"/>
    <w:uiPriority w:val="9"/>
    <w:qFormat/>
    <w:rPr>
      <w:rFonts w:ascii="Arial" w:hAnsi="Arial" w:eastAsia="Arial" w:cs="Arial"/>
      <w:b/>
      <w:bCs/>
      <w:sz w:val="26"/>
      <w:szCs w:val="26"/>
    </w:rPr>
  </w:style>
  <w:style w:type="character" w:styleId="767" w:customStyle="1">
    <w:name w:val="标题 5 Char"/>
    <w:basedOn w:val="709"/>
    <w:link w:val="704"/>
    <w:uiPriority w:val="9"/>
    <w:qFormat/>
    <w:rPr>
      <w:rFonts w:ascii="Arial" w:hAnsi="Arial" w:eastAsia="Arial" w:cs="Arial"/>
      <w:b/>
      <w:bCs/>
      <w:sz w:val="24"/>
      <w:szCs w:val="24"/>
    </w:rPr>
  </w:style>
  <w:style w:type="character" w:styleId="768" w:customStyle="1">
    <w:name w:val="标题 6 Char"/>
    <w:basedOn w:val="709"/>
    <w:link w:val="705"/>
    <w:uiPriority w:val="9"/>
    <w:qFormat/>
    <w:rPr>
      <w:rFonts w:ascii="Arial" w:hAnsi="Arial" w:eastAsia="Arial" w:cs="Arial"/>
      <w:b/>
      <w:bCs/>
      <w:sz w:val="22"/>
      <w:szCs w:val="22"/>
    </w:rPr>
  </w:style>
  <w:style w:type="character" w:styleId="769" w:customStyle="1">
    <w:name w:val="标题 7 Char"/>
    <w:basedOn w:val="709"/>
    <w:link w:val="706"/>
    <w:uiPriority w:val="9"/>
    <w:qFormat/>
    <w:rPr>
      <w:rFonts w:ascii="Arial" w:hAnsi="Arial" w:eastAsia="Arial" w:cs="Arial"/>
      <w:b/>
      <w:bCs/>
      <w:i/>
      <w:iCs/>
      <w:sz w:val="22"/>
      <w:szCs w:val="22"/>
    </w:rPr>
  </w:style>
  <w:style w:type="character" w:styleId="770" w:customStyle="1">
    <w:name w:val="标题 8 Char"/>
    <w:basedOn w:val="709"/>
    <w:link w:val="707"/>
    <w:uiPriority w:val="9"/>
    <w:qFormat/>
    <w:rPr>
      <w:rFonts w:ascii="Arial" w:hAnsi="Arial" w:eastAsia="Arial" w:cs="Arial"/>
      <w:i/>
      <w:iCs/>
      <w:sz w:val="22"/>
      <w:szCs w:val="22"/>
    </w:rPr>
  </w:style>
  <w:style w:type="character" w:styleId="771" w:customStyle="1">
    <w:name w:val="标题 9 Char"/>
    <w:basedOn w:val="709"/>
    <w:link w:val="708"/>
    <w:uiPriority w:val="9"/>
    <w:qFormat/>
    <w:rPr>
      <w:rFonts w:ascii="Arial" w:hAnsi="Arial" w:eastAsia="Arial" w:cs="Arial"/>
      <w:i/>
      <w:iCs/>
      <w:sz w:val="21"/>
      <w:szCs w:val="21"/>
    </w:rPr>
  </w:style>
  <w:style w:type="paragraph" w:styleId="772">
    <w:name w:val="No Spacing"/>
    <w:uiPriority w:val="1"/>
    <w:qFormat/>
  </w:style>
  <w:style w:type="character" w:styleId="773" w:customStyle="1">
    <w:name w:val="Title Char"/>
    <w:basedOn w:val="709"/>
    <w:uiPriority w:val="10"/>
    <w:qFormat/>
    <w:rPr>
      <w:sz w:val="48"/>
      <w:szCs w:val="48"/>
    </w:rPr>
  </w:style>
  <w:style w:type="character" w:styleId="774" w:customStyle="1">
    <w:name w:val="副标题 Char"/>
    <w:basedOn w:val="709"/>
    <w:link w:val="732"/>
    <w:uiPriority w:val="11"/>
    <w:qFormat/>
    <w:rPr>
      <w:sz w:val="24"/>
      <w:szCs w:val="24"/>
    </w:rPr>
  </w:style>
  <w:style w:type="paragraph" w:styleId="775">
    <w:name w:val="Quote"/>
    <w:basedOn w:val="699"/>
    <w:next w:val="699"/>
    <w:link w:val="776"/>
    <w:uiPriority w:val="29"/>
    <w:qFormat/>
    <w:pPr>
      <w:ind w:left="720" w:right="720"/>
    </w:pPr>
    <w:rPr>
      <w:i/>
    </w:rPr>
  </w:style>
  <w:style w:type="character" w:styleId="776" w:customStyle="1">
    <w:name w:val="引用 Char"/>
    <w:link w:val="775"/>
    <w:uiPriority w:val="29"/>
    <w:qFormat/>
    <w:rPr>
      <w:i/>
    </w:rPr>
  </w:style>
  <w:style w:type="paragraph" w:styleId="777">
    <w:name w:val="Intense Quote"/>
    <w:basedOn w:val="699"/>
    <w:next w:val="699"/>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
    <w:link w:val="777"/>
    <w:uiPriority w:val="30"/>
    <w:qFormat/>
    <w:rPr>
      <w:i/>
    </w:rPr>
  </w:style>
  <w:style w:type="character" w:styleId="779" w:customStyle="1">
    <w:name w:val="Header Char"/>
    <w:basedOn w:val="709"/>
    <w:uiPriority w:val="99"/>
    <w:qFormat/>
  </w:style>
  <w:style w:type="character" w:styleId="780" w:customStyle="1">
    <w:name w:val="Footer Char"/>
    <w:basedOn w:val="709"/>
    <w:uiPriority w:val="99"/>
    <w:qFormat/>
  </w:style>
  <w:style w:type="character" w:styleId="781" w:customStyle="1">
    <w:name w:val="Caption Char"/>
    <w:uiPriority w:val="99"/>
    <w:qFormat/>
  </w:style>
  <w:style w:type="table" w:styleId="782" w:customStyle="1">
    <w:name w:val="Table Grid Light"/>
    <w:basedOn w:val="7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3" w:customStyle="1">
    <w:name w:val="Plain Table 1"/>
    <w:basedOn w:val="71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1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1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1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1"/>
    <w:basedOn w:val="7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2"/>
    <w:basedOn w:val="7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3"/>
    <w:basedOn w:val="7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4"/>
    <w:basedOn w:val="71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5"/>
    <w:basedOn w:val="71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6"/>
    <w:basedOn w:val="7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6" w:customStyle="1">
    <w:name w:val="Grid Table 2 - Accent 1"/>
    <w:basedOn w:val="71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97" w:customStyle="1">
    <w:name w:val="Grid Table 2 - Accent 2"/>
    <w:basedOn w:val="71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98" w:customStyle="1">
    <w:name w:val="Grid Table 2 - Accent 3"/>
    <w:basedOn w:val="7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9" w:customStyle="1">
    <w:name w:val="Grid Table 2 - Accent 4"/>
    <w:basedOn w:val="71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0" w:customStyle="1">
    <w:name w:val="Grid Table 2 - Accent 5"/>
    <w:basedOn w:val="7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Grid Table 2 - Accent 6"/>
    <w:basedOn w:val="7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Grid Table 3"/>
    <w:basedOn w:val="71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1"/>
    <w:basedOn w:val="71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2"/>
    <w:basedOn w:val="71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3"/>
    <w:basedOn w:val="71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4"/>
    <w:basedOn w:val="71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5"/>
    <w:basedOn w:val="71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6"/>
    <w:basedOn w:val="71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4"/>
    <w:basedOn w:val="71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Grid Table 4 - Accent 1"/>
    <w:basedOn w:val="71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11" w:customStyle="1">
    <w:name w:val="Grid Table 4 - Accent 2"/>
    <w:basedOn w:val="71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2" w:customStyle="1">
    <w:name w:val="Grid Table 4 - Accent 3"/>
    <w:basedOn w:val="71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3" w:customStyle="1">
    <w:name w:val="Grid Table 4 - Accent 4"/>
    <w:basedOn w:val="71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4" w:customStyle="1">
    <w:name w:val="Grid Table 4 - Accent 5"/>
    <w:basedOn w:val="71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5" w:customStyle="1">
    <w:name w:val="Grid Table 4 - Accent 6"/>
    <w:basedOn w:val="71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6" w:customStyle="1">
    <w:name w:val="Grid Table 5 Dark"/>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5 Dark- Accent 1"/>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8" w:customStyle="1">
    <w:name w:val="Grid Table 5 Dark - Accent 2"/>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9" w:customStyle="1">
    <w:name w:val="Grid Table 5 Dark - Accent 3"/>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0" w:customStyle="1">
    <w:name w:val="Grid Table 5 Dark- Accent 4"/>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1" w:customStyle="1">
    <w:name w:val="Grid Table 5 Dark - Accent 5"/>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2" w:customStyle="1">
    <w:name w:val="Grid Table 5 Dark - Accent 6"/>
    <w:basedOn w:val="71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3" w:customStyle="1">
    <w:name w:val="Grid Table 6 Colorful"/>
    <w:basedOn w:val="71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4" w:customStyle="1">
    <w:name w:val="Grid Table 6 Colorful - Accent 1"/>
    <w:basedOn w:val="71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25" w:customStyle="1">
    <w:name w:val="Grid Table 6 Colorful - Accent 2"/>
    <w:basedOn w:val="71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26" w:customStyle="1">
    <w:name w:val="Grid Table 6 Colorful - Accent 3"/>
    <w:basedOn w:val="71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27" w:customStyle="1">
    <w:name w:val="Grid Table 6 Colorful - Accent 4"/>
    <w:basedOn w:val="71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28" w:customStyle="1">
    <w:name w:val="Grid Table 6 Colorful - Accent 5"/>
    <w:basedOn w:val="71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29" w:customStyle="1">
    <w:name w:val="Grid Table 6 Colorful - Accent 6"/>
    <w:basedOn w:val="71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30" w:customStyle="1">
    <w:name w:val="Grid Table 7 Colorful"/>
    <w:basedOn w:val="71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Grid Table 7 Colorful - Accent 1"/>
    <w:basedOn w:val="71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1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1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1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1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1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w:basedOn w:val="71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List Table 1 Light - Accent 1"/>
    <w:basedOn w:val="71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1 Light - Accent 2"/>
    <w:basedOn w:val="71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0" w:customStyle="1">
    <w:name w:val="List Table 1 Light - Accent 3"/>
    <w:basedOn w:val="71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1" w:customStyle="1">
    <w:name w:val="List Table 1 Light - Accent 4"/>
    <w:basedOn w:val="71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2" w:customStyle="1">
    <w:name w:val="List Table 1 Light - Accent 5"/>
    <w:basedOn w:val="71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List Table 1 Light - Accent 6"/>
    <w:basedOn w:val="71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List Table 2"/>
    <w:basedOn w:val="71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5" w:customStyle="1">
    <w:name w:val="List Table 2 - Accent 1"/>
    <w:basedOn w:val="71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6" w:customStyle="1">
    <w:name w:val="List Table 2 - Accent 2"/>
    <w:basedOn w:val="71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7" w:customStyle="1">
    <w:name w:val="List Table 2 - Accent 3"/>
    <w:basedOn w:val="71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8" w:customStyle="1">
    <w:name w:val="List Table 2 - Accent 4"/>
    <w:basedOn w:val="71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49" w:customStyle="1">
    <w:name w:val="List Table 2 - Accent 5"/>
    <w:basedOn w:val="71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0" w:customStyle="1">
    <w:name w:val="List Table 2 - Accent 6"/>
    <w:basedOn w:val="71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1" w:customStyle="1">
    <w:name w:val="List Table 3"/>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3 - Accent 1"/>
    <w:basedOn w:val="71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3 - Accent 2"/>
    <w:basedOn w:val="71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4" w:customStyle="1">
    <w:name w:val="List Table 3 - Accent 3"/>
    <w:basedOn w:val="71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5" w:customStyle="1">
    <w:name w:val="List Table 3 - Accent 4"/>
    <w:basedOn w:val="71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6" w:customStyle="1">
    <w:name w:val="List Table 3 - Accent 5"/>
    <w:basedOn w:val="71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57" w:customStyle="1">
    <w:name w:val="List Table 3 - Accent 6"/>
    <w:basedOn w:val="71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8" w:customStyle="1">
    <w:name w:val="List Table 4"/>
    <w:basedOn w:val="71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 Accent 1"/>
    <w:basedOn w:val="71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0" w:customStyle="1">
    <w:name w:val="List Table 4 - Accent 2"/>
    <w:basedOn w:val="71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1" w:customStyle="1">
    <w:name w:val="List Table 4 - Accent 3"/>
    <w:basedOn w:val="71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2" w:customStyle="1">
    <w:name w:val="List Table 4 - Accent 4"/>
    <w:basedOn w:val="71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3" w:customStyle="1">
    <w:name w:val="List Table 4 - Accent 5"/>
    <w:basedOn w:val="71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4" w:customStyle="1">
    <w:name w:val="List Table 4 - Accent 6"/>
    <w:basedOn w:val="71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5" w:customStyle="1">
    <w:name w:val="List Table 5 Dark"/>
    <w:basedOn w:val="71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6" w:customStyle="1">
    <w:name w:val="List Table 5 Dark - Accent 1"/>
    <w:basedOn w:val="71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67" w:customStyle="1">
    <w:name w:val="List Table 5 Dark - Accent 2"/>
    <w:basedOn w:val="71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68" w:customStyle="1">
    <w:name w:val="List Table 5 Dark - Accent 3"/>
    <w:basedOn w:val="71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69" w:customStyle="1">
    <w:name w:val="List Table 5 Dark - Accent 4"/>
    <w:basedOn w:val="71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0" w:customStyle="1">
    <w:name w:val="List Table 5 Dark - Accent 5"/>
    <w:basedOn w:val="71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71" w:customStyle="1">
    <w:name w:val="List Table 5 Dark - Accent 6"/>
    <w:basedOn w:val="71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2" w:customStyle="1">
    <w:name w:val="List Table 6 Colorful"/>
    <w:basedOn w:val="71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3" w:customStyle="1">
    <w:name w:val="List Table 6 Colorful - Accent 1"/>
    <w:basedOn w:val="71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874" w:customStyle="1">
    <w:name w:val="List Table 6 Colorful - Accent 2"/>
    <w:basedOn w:val="71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875" w:customStyle="1">
    <w:name w:val="List Table 6 Colorful - Accent 3"/>
    <w:basedOn w:val="71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876" w:customStyle="1">
    <w:name w:val="List Table 6 Colorful - Accent 4"/>
    <w:basedOn w:val="71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877" w:customStyle="1">
    <w:name w:val="List Table 6 Colorful - Accent 5"/>
    <w:basedOn w:val="71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878" w:customStyle="1">
    <w:name w:val="List Table 6 Colorful - Accent 6"/>
    <w:basedOn w:val="71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79" w:customStyle="1">
    <w:name w:val="List Table 7 Colorful"/>
    <w:basedOn w:val="71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0" w:customStyle="1">
    <w:name w:val="List Table 7 Colorful - Accent 1"/>
    <w:basedOn w:val="71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7 Colorful - Accent 2"/>
    <w:basedOn w:val="71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2" w:customStyle="1">
    <w:name w:val="List Table 7 Colorful - Accent 3"/>
    <w:basedOn w:val="71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3" w:customStyle="1">
    <w:name w:val="List Table 7 Colorful - Accent 4"/>
    <w:basedOn w:val="71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4" w:customStyle="1">
    <w:name w:val="List Table 7 Colorful - Accent 5"/>
    <w:basedOn w:val="71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85" w:customStyle="1">
    <w:name w:val="List Table 7 Colorful - Accent 6"/>
    <w:basedOn w:val="71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6" w:customStyle="1">
    <w:name w:val="Lined - Accent"/>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7" w:customStyle="1">
    <w:name w:val="Lined - Accent 1"/>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88" w:customStyle="1">
    <w:name w:val="Lined - Accent 2"/>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89" w:customStyle="1">
    <w:name w:val="Lined - Accent 3"/>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Lined - Accent 4"/>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1" w:customStyle="1">
    <w:name w:val="Lined - Accent 5"/>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Lined - Accent 6"/>
    <w:basedOn w:val="71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amp; Lined - Accent"/>
    <w:basedOn w:val="71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4" w:customStyle="1">
    <w:name w:val="Bordered &amp; Lined - Accent 1"/>
    <w:basedOn w:val="71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95" w:customStyle="1">
    <w:name w:val="Bordered &amp; Lined - Accent 2"/>
    <w:basedOn w:val="71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6" w:customStyle="1">
    <w:name w:val="Bordered &amp; Lined - Accent 3"/>
    <w:basedOn w:val="71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7" w:customStyle="1">
    <w:name w:val="Bordered &amp; Lined - Accent 4"/>
    <w:basedOn w:val="71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8" w:customStyle="1">
    <w:name w:val="Bordered &amp; Lined - Accent 5"/>
    <w:basedOn w:val="71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9" w:customStyle="1">
    <w:name w:val="Bordered &amp; Lined - Accent 6"/>
    <w:basedOn w:val="71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0" w:customStyle="1">
    <w:name w:val="Bordered"/>
    <w:basedOn w:val="71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1" w:customStyle="1">
    <w:name w:val="Bordered - Accent 1"/>
    <w:basedOn w:val="71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2" w:customStyle="1">
    <w:name w:val="Bordered - Accent 2"/>
    <w:basedOn w:val="71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3" w:customStyle="1">
    <w:name w:val="Bordered - Accent 3"/>
    <w:basedOn w:val="71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4" w:customStyle="1">
    <w:name w:val="Bordered - Accent 4"/>
    <w:basedOn w:val="71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5" w:customStyle="1">
    <w:name w:val="Bordered - Accent 5"/>
    <w:basedOn w:val="71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06" w:customStyle="1">
    <w:name w:val="Bordered - Accent 6"/>
    <w:basedOn w:val="71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7" w:customStyle="1">
    <w:name w:val="脚注文本 Char"/>
    <w:link w:val="733"/>
    <w:uiPriority w:val="99"/>
    <w:qFormat/>
    <w:rPr>
      <w:sz w:val="18"/>
    </w:rPr>
  </w:style>
  <w:style w:type="character" w:styleId="908" w:customStyle="1">
    <w:name w:val="尾注文本 Char"/>
    <w:link w:val="726"/>
    <w:uiPriority w:val="99"/>
    <w:qFormat/>
    <w:rPr>
      <w:sz w:val="20"/>
    </w:rPr>
  </w:style>
  <w:style w:type="paragraph" w:styleId="909" w:customStyle="1">
    <w:name w:val="TOC 标题1"/>
    <w:uiPriority w:val="39"/>
    <w:unhideWhenUsed/>
    <w:qFormat/>
  </w:style>
  <w:style w:type="character" w:styleId="910" w:customStyle="1">
    <w:name w:val="标题 1 Char"/>
    <w:link w:val="700"/>
    <w:qFormat/>
    <w:rPr>
      <w:rFonts w:ascii="Times New Roman" w:hAnsi="Times New Roman" w:eastAsia="楷体_GB2312" w:cs="Times New Roman"/>
      <w:b/>
      <w:sz w:val="44"/>
    </w:rPr>
  </w:style>
  <w:style w:type="character" w:styleId="911" w:customStyle="1">
    <w:name w:val="标题 2 Char"/>
    <w:basedOn w:val="709"/>
    <w:link w:val="701"/>
    <w:qFormat/>
    <w:rPr>
      <w:rFonts w:ascii="Cambria" w:hAnsi="Cambria" w:eastAsia="宋体" w:cs="Times New Roman"/>
      <w:b/>
      <w:bCs/>
      <w:sz w:val="32"/>
      <w:szCs w:val="32"/>
    </w:rPr>
  </w:style>
  <w:style w:type="character" w:styleId="912" w:customStyle="1">
    <w:name w:val="正文缩进 Char"/>
    <w:link w:val="716"/>
    <w:qFormat/>
    <w:rPr>
      <w:rFonts w:ascii="Times New Roman" w:hAnsi="Times New Roman" w:eastAsia="宋体" w:cs="Times New Roman"/>
      <w:sz w:val="24"/>
      <w:szCs w:val="24"/>
    </w:rPr>
  </w:style>
  <w:style w:type="character" w:styleId="913" w:customStyle="1">
    <w:name w:val="批注文字 Char"/>
    <w:basedOn w:val="709"/>
    <w:link w:val="718"/>
    <w:qFormat/>
    <w:rPr>
      <w:rFonts w:ascii="Times New Roman" w:hAnsi="Times New Roman" w:eastAsia="宋体" w:cs="Times New Roman"/>
      <w:sz w:val="21"/>
      <w:szCs w:val="24"/>
    </w:rPr>
  </w:style>
  <w:style w:type="character" w:styleId="914" w:customStyle="1">
    <w:name w:val="正文文本缩进 Char"/>
    <w:basedOn w:val="709"/>
    <w:link w:val="720"/>
    <w:qFormat/>
    <w:rPr>
      <w:rFonts w:ascii="方正仿宋简体" w:hAnsi="创艺简仿宋" w:eastAsia="方正仿宋简体" w:cs="Times New Roman"/>
      <w:sz w:val="24"/>
    </w:rPr>
  </w:style>
  <w:style w:type="character" w:styleId="915" w:customStyle="1">
    <w:name w:val="纯文本 Char"/>
    <w:basedOn w:val="709"/>
    <w:link w:val="723"/>
    <w:qFormat/>
    <w:rPr>
      <w:rFonts w:ascii="宋体" w:hAnsi="Courier New" w:eastAsia="楷体_GB2312" w:cs="Times New Roman"/>
      <w:sz w:val="28"/>
    </w:rPr>
  </w:style>
  <w:style w:type="character" w:styleId="916" w:customStyle="1">
    <w:name w:val="日期 Char"/>
    <w:link w:val="725"/>
    <w:qFormat/>
    <w:rPr>
      <w:rFonts w:ascii="宋体" w:hAnsi="宋体" w:eastAsia="楷体_GB2312" w:cs="Times New Roman"/>
      <w:sz w:val="24"/>
    </w:rPr>
  </w:style>
  <w:style w:type="character" w:styleId="917" w:customStyle="1">
    <w:name w:val="批注框文本 Char"/>
    <w:basedOn w:val="709"/>
    <w:link w:val="727"/>
    <w:qFormat/>
    <w:rPr>
      <w:rFonts w:ascii="Times New Roman" w:hAnsi="Times New Roman" w:eastAsia="宋体" w:cs="Times New Roman"/>
      <w:sz w:val="18"/>
      <w:szCs w:val="18"/>
    </w:rPr>
  </w:style>
  <w:style w:type="character" w:styleId="918" w:customStyle="1">
    <w:name w:val="页脚 Char"/>
    <w:link w:val="728"/>
    <w:uiPriority w:val="99"/>
    <w:qFormat/>
    <w:rPr>
      <w:rFonts w:ascii="Times New Roman" w:hAnsi="Times New Roman" w:eastAsia="宋体" w:cs="Times New Roman"/>
      <w:sz w:val="18"/>
      <w:szCs w:val="24"/>
    </w:rPr>
  </w:style>
  <w:style w:type="character" w:styleId="919" w:customStyle="1">
    <w:name w:val="页眉 Char"/>
    <w:basedOn w:val="709"/>
    <w:link w:val="729"/>
    <w:uiPriority w:val="99"/>
    <w:qFormat/>
    <w:rPr>
      <w:rFonts w:ascii="Times New Roman" w:hAnsi="Times New Roman" w:eastAsia="宋体" w:cs="Times New Roman"/>
      <w:sz w:val="18"/>
      <w:szCs w:val="24"/>
    </w:rPr>
  </w:style>
  <w:style w:type="character" w:styleId="920" w:customStyle="1">
    <w:name w:val="批注主题 Char"/>
    <w:basedOn w:val="913"/>
    <w:link w:val="742"/>
    <w:qFormat/>
    <w:rPr>
      <w:rFonts w:ascii="Times New Roman" w:hAnsi="Times New Roman" w:eastAsia="宋体" w:cs="Times New Roman"/>
      <w:b/>
      <w:bCs/>
      <w:sz w:val="21"/>
      <w:szCs w:val="24"/>
    </w:rPr>
  </w:style>
  <w:style w:type="paragraph" w:styleId="921" w:customStyle="1">
    <w:name w:val="WPSOffice手动目录 1"/>
    <w:qFormat/>
    <w:rPr>
      <w:rFonts w:ascii="Times New Roman" w:hAnsi="Times New Roman" w:eastAsia="宋体" w:cs="Times New Roman"/>
    </w:rPr>
  </w:style>
  <w:style w:type="paragraph" w:styleId="922" w:customStyle="1">
    <w:name w:val="纯文本1"/>
    <w:basedOn w:val="699"/>
    <w:link w:val="923"/>
    <w:qFormat/>
    <w:rPr>
      <w:rFonts w:ascii="宋体" w:hAnsi="宋体" w:eastAsia="楷体_GB2312"/>
      <w:sz w:val="26"/>
      <w:szCs w:val="20"/>
    </w:rPr>
  </w:style>
  <w:style w:type="character" w:styleId="923" w:customStyle="1">
    <w:name w:val="Plain Text Char Char"/>
    <w:link w:val="922"/>
    <w:qFormat/>
    <w:rPr>
      <w:rFonts w:ascii="宋体" w:hAnsi="宋体" w:eastAsia="楷体_GB2312" w:cs="Times New Roman"/>
      <w:sz w:val="26"/>
    </w:rPr>
  </w:style>
  <w:style w:type="paragraph" w:styleId="924" w:customStyle="1">
    <w:name w:val="纯文本2"/>
    <w:basedOn w:val="699"/>
    <w:qFormat/>
    <w:pPr>
      <w:spacing w:line="360" w:lineRule="auto"/>
    </w:pPr>
    <w:rPr>
      <w:rFonts w:ascii="宋体" w:hAnsi="宋体" w:eastAsia="楷体_GB2312"/>
      <w:sz w:val="28"/>
      <w:szCs w:val="20"/>
    </w:rPr>
  </w:style>
  <w:style w:type="paragraph" w:styleId="925">
    <w:name w:val="List Paragraph"/>
    <w:basedOn w:val="699"/>
    <w:uiPriority w:val="99"/>
    <w:unhideWhenUsed/>
    <w:qFormat/>
    <w:pPr>
      <w:ind w:firstLine="420"/>
    </w:pPr>
  </w:style>
  <w:style w:type="paragraph" w:styleId="926" w:customStyle="1">
    <w:name w:val="无间隔1"/>
    <w:qFormat/>
    <w:pPr>
      <w:spacing w:line="240" w:lineRule="atLeast"/>
    </w:pPr>
    <w:rPr>
      <w:rFonts w:ascii="Times New Roman" w:hAnsi="Times New Roman" w:eastAsia="宋体" w:cs="Times New Roman"/>
      <w:lang w:val="en-GB" w:eastAsia="en-GB"/>
    </w:rPr>
  </w:style>
  <w:style w:type="paragraph" w:styleId="927" w:customStyle="1">
    <w:name w:val="首行缩进"/>
    <w:qFormat/>
    <w:pPr>
      <w:ind w:firstLine="480"/>
      <w:jc w:val="both"/>
      <w:widowControl w:val="off"/>
    </w:pPr>
    <w:rPr>
      <w:rFonts w:ascii="Times New Roman" w:hAnsi="Times New Roman" w:eastAsia="宋体" w:cs="Times New Roman"/>
      <w:sz w:val="21"/>
      <w:lang w:val="zh-CN"/>
    </w:rPr>
  </w:style>
  <w:style w:type="paragraph" w:styleId="928" w:customStyle="1">
    <w:name w:val="Plain Text11"/>
    <w:basedOn w:val="699"/>
    <w:qFormat/>
    <w:rPr>
      <w:rFonts w:ascii="宋体" w:hAnsi="Courier New" w:eastAsia="楷体_GB2312"/>
      <w:sz w:val="28"/>
      <w:szCs w:val="20"/>
    </w:rPr>
  </w:style>
  <w:style w:type="character" w:styleId="929" w:customStyle="1">
    <w:name w:val="font71"/>
    <w:qFormat/>
    <w:rPr>
      <w:rFonts w:hint="eastAsia" w:ascii="宋体" w:hAnsi="宋体" w:eastAsia="宋体" w:cs="宋体"/>
      <w:color w:val="000000"/>
      <w:sz w:val="21"/>
      <w:szCs w:val="21"/>
      <w:u w:val="none"/>
    </w:rPr>
  </w:style>
  <w:style w:type="paragraph" w:styleId="930" w:customStyle="1">
    <w:name w:val="纯文本12"/>
    <w:basedOn w:val="699"/>
    <w:qFormat/>
    <w:rPr>
      <w:rFonts w:hint="eastAsia" w:ascii="宋体" w:hAnsi="Courier New" w:eastAsia="楷体_GB2312"/>
      <w:bCs/>
      <w:sz w:val="28"/>
      <w:szCs w:val="20"/>
    </w:rPr>
  </w:style>
  <w:style w:type="paragraph" w:styleId="931" w:customStyle="1">
    <w:name w:val="TOC 标题1"/>
    <w:basedOn w:val="700"/>
    <w:next w:val="699"/>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32" w:customStyle="1">
    <w:name w:val="Heading 2 Char"/>
    <w:uiPriority w:val="9"/>
    <w:qFormat/>
    <w:rPr>
      <w:rFonts w:ascii="Arial" w:hAnsi="Arial" w:eastAsia="Arial" w:cs="Arial"/>
      <w:sz w:val="34"/>
    </w:rPr>
  </w:style>
  <w:style w:type="paragraph" w:styleId="933" w:customStyle="1">
    <w:name w:val="Plain Text2"/>
    <w:basedOn w:val="699"/>
    <w:qFormat/>
    <w:rPr>
      <w:rFonts w:hint="eastAsia" w:ascii="宋体" w:hAnsi="Courier New" w:eastAsia="楷体_GB2312"/>
      <w:sz w:val="28"/>
      <w:szCs w:val="20"/>
    </w:rPr>
  </w:style>
  <w:style w:type="paragraph" w:styleId="934" w:customStyle="1">
    <w:name w:val="纯文本3"/>
    <w:basedOn w:val="699"/>
    <w:qFormat/>
    <w:rPr>
      <w:rFonts w:ascii="宋体" w:hAnsi="Courier New" w:eastAsia="楷体_GB2312"/>
      <w:sz w:val="28"/>
      <w:szCs w:val="20"/>
    </w:rPr>
  </w:style>
  <w:style w:type="paragraph" w:styleId="935" w:customStyle="1">
    <w:name w:val="Plain Text1"/>
    <w:basedOn w:val="699"/>
    <w:qFormat/>
    <w:pPr>
      <w:spacing w:line="312" w:lineRule="atLeast"/>
    </w:pPr>
    <w:rPr>
      <w:rFonts w:ascii="Arial Black" w:hAnsi="Courier New"/>
      <w:szCs w:val="20"/>
    </w:rPr>
  </w:style>
  <w:style w:type="character" w:styleId="936" w:customStyle="1">
    <w:name w:val="正文文本缩进 3 Char"/>
    <w:basedOn w:val="709"/>
    <w:link w:val="735"/>
    <w:qFormat/>
    <w:rPr>
      <w:rFonts w:ascii="Times New Roman" w:hAnsi="Times New Roman" w:eastAsia="宋体" w:cs="Times New Roman"/>
      <w:sz w:val="16"/>
      <w:szCs w:val="16"/>
    </w:rPr>
  </w:style>
  <w:style w:type="character" w:styleId="937" w:customStyle="1">
    <w:name w:val="HTML 预设格式 Char"/>
    <w:basedOn w:val="709"/>
    <w:link w:val="740"/>
    <w:qFormat/>
    <w:rPr>
      <w:rFonts w:ascii="宋体" w:hAnsi="宋体" w:eastAsia="宋体" w:cs="Times New Roman"/>
      <w:sz w:val="24"/>
      <w:szCs w:val="24"/>
    </w:rPr>
  </w:style>
  <w:style w:type="character" w:styleId="938" w:customStyle="1">
    <w:name w:val="正文文本 2 Char"/>
    <w:basedOn w:val="709"/>
    <w:link w:val="739"/>
    <w:qFormat/>
    <w:rPr>
      <w:rFonts w:ascii="Times New Roman" w:hAnsi="Times New Roman" w:eastAsia="宋体" w:cs="Times New Roman"/>
      <w:sz w:val="21"/>
      <w:szCs w:val="24"/>
    </w:rPr>
  </w:style>
  <w:style w:type="character" w:styleId="939" w:customStyle="1">
    <w:name w:val="标题 Char"/>
    <w:basedOn w:val="709"/>
    <w:link w:val="741"/>
    <w:qFormat/>
    <w:rPr>
      <w:rFonts w:ascii="Cambria" w:hAnsi="Cambria" w:eastAsia="宋体" w:cs="Times New Roman"/>
      <w:b/>
      <w:bCs/>
      <w:sz w:val="32"/>
      <w:szCs w:val="32"/>
    </w:rPr>
  </w:style>
  <w:style w:type="character" w:styleId="940" w:customStyle="1">
    <w:name w:val="正文首行缩进 2 Char"/>
    <w:basedOn w:val="914"/>
    <w:link w:val="743"/>
    <w:qFormat/>
    <w:rPr>
      <w:rFonts w:ascii="Times New Roman" w:hAnsi="Times New Roman" w:eastAsia="楷体_GB2312" w:cs="Times New Roman"/>
      <w:sz w:val="26"/>
    </w:rPr>
  </w:style>
  <w:style w:type="paragraph" w:styleId="941" w:customStyle="1">
    <w:name w:val="*正文"/>
    <w:basedOn w:val="699"/>
    <w:qFormat/>
    <w:pPr>
      <w:ind w:firstLine="200"/>
      <w:spacing w:line="360" w:lineRule="auto"/>
    </w:pPr>
    <w:rPr>
      <w:rFonts w:ascii="宋体" w:hAnsi="宋体"/>
      <w:sz w:val="24"/>
      <w:szCs w:val="20"/>
    </w:rPr>
  </w:style>
  <w:style w:type="paragraph" w:styleId="942" w:customStyle="1">
    <w:name w:val="样式  + 首行缩进:  2 字符"/>
    <w:basedOn w:val="699"/>
    <w:qFormat/>
    <w:pPr>
      <w:ind w:firstLine="524"/>
      <w:spacing w:line="360" w:lineRule="auto"/>
    </w:pPr>
    <w:rPr>
      <w:rFonts w:ascii="宋体" w:hAnsi="宋体"/>
      <w:spacing w:val="11"/>
      <w:sz w:val="24"/>
    </w:rPr>
  </w:style>
  <w:style w:type="character" w:styleId="943" w:customStyle="1">
    <w:name w:val="宏文本 Char1"/>
    <w:link w:val="713"/>
    <w:qFormat/>
    <w:rPr>
      <w:rFonts w:ascii="Courier New" w:hAnsi="Courier New" w:eastAsia="宋体" w:cs="Times New Roman"/>
      <w:sz w:val="24"/>
      <w:szCs w:val="24"/>
    </w:rPr>
  </w:style>
  <w:style w:type="character" w:styleId="944" w:customStyle="1">
    <w:name w:val="宏文本 Char"/>
    <w:basedOn w:val="709"/>
    <w:qFormat/>
    <w:rPr>
      <w:rFonts w:ascii="Courier New" w:hAnsi="Courier New" w:eastAsia="宋体" w:cs="Courier New"/>
      <w:sz w:val="24"/>
      <w:szCs w:val="24"/>
    </w:rPr>
  </w:style>
  <w:style w:type="paragraph" w:styleId="945" w:customStyle="1">
    <w:name w:val="Plain Text12"/>
    <w:basedOn w:val="699"/>
    <w:qFormat/>
    <w:rPr>
      <w:rFonts w:ascii="宋体" w:hAnsi="Courier New" w:eastAsia="楷体_GB2312"/>
      <w:sz w:val="28"/>
      <w:szCs w:val="20"/>
    </w:rPr>
  </w:style>
  <w:style w:type="paragraph" w:styleId="946" w:customStyle="1">
    <w:name w:val="纯文本4"/>
    <w:basedOn w:val="699"/>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wmf"/><Relationship Id="rId15" Type="http://schemas.openxmlformats.org/officeDocument/2006/relationships/hyperlink" Target="https://baike.baidu.com/item/%E4%B8%AD%E5%8D%8E%E4%BA%BA%E6%B0%91%E5%85%B1%E5%92%8C%E5%9B%BD%E6%B0%91%E6%B3%95%E5%85%B8/1943511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CB2302C-054E-45BB-9909-5CBE6B023DE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杨金梅</cp:lastModifiedBy>
  <cp:revision>625</cp:revision>
  <dcterms:created xsi:type="dcterms:W3CDTF">2022-05-19T01:36:00Z</dcterms:created>
  <dcterms:modified xsi:type="dcterms:W3CDTF">2025-11-26T03:22:17Z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2860D283DC864CAFA452BEA70A4724F9</vt:lpwstr>
  </property>
  <property fmtid="{D5CDD505-2E9C-101B-9397-08002B2CF9AE}" pid="4" name="KSOTemplateDocerSaveRecord">
    <vt:lpwstr>eyJoZGlkIjoiNWFkMzgxNjJiOGVlYzJhZTJhMjIxZWMwMGE0MTY0YmMiLCJ1c2VySWQiOiIxMTU2NzE1OTk4In0=</vt:lpwstr>
  </property>
</Properties>
</file>